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63DB" w14:textId="76649ECF" w:rsidR="006076EF" w:rsidRPr="009F2248" w:rsidRDefault="4BD35C1B" w:rsidP="0FC6D2D6">
      <w:pPr>
        <w:spacing w:after="240" w:line="276" w:lineRule="auto"/>
        <w:rPr>
          <w:rFonts w:ascii="Verdana" w:eastAsia="Times New Roman" w:hAnsi="Verdana" w:cs="Times New Roman"/>
          <w:b/>
          <w:bCs/>
        </w:rPr>
      </w:pPr>
      <w:bookmarkStart w:id="0" w:name="_Hlk163853774"/>
      <w:r w:rsidRPr="0FC6D2D6">
        <w:rPr>
          <w:rFonts w:ascii="Verdana" w:eastAsia="Times New Roman" w:hAnsi="Verdana" w:cs="Times New Roman"/>
          <w:b/>
          <w:bCs/>
          <w:sz w:val="28"/>
          <w:szCs w:val="28"/>
        </w:rPr>
        <w:t xml:space="preserve">Promoting </w:t>
      </w:r>
      <w:r w:rsidR="00E71066">
        <w:rPr>
          <w:rFonts w:ascii="Verdana" w:eastAsia="Times New Roman" w:hAnsi="Verdana" w:cs="Times New Roman"/>
          <w:b/>
          <w:bCs/>
          <w:sz w:val="28"/>
          <w:szCs w:val="28"/>
        </w:rPr>
        <w:t>C</w:t>
      </w:r>
      <w:r w:rsidRPr="0FC6D2D6">
        <w:rPr>
          <w:rFonts w:ascii="Verdana" w:eastAsia="Times New Roman" w:hAnsi="Verdana" w:cs="Times New Roman"/>
          <w:b/>
          <w:bCs/>
          <w:sz w:val="28"/>
          <w:szCs w:val="28"/>
        </w:rPr>
        <w:t xml:space="preserve">ivic </w:t>
      </w:r>
      <w:r w:rsidR="00E71066">
        <w:rPr>
          <w:rFonts w:ascii="Verdana" w:eastAsia="Times New Roman" w:hAnsi="Verdana" w:cs="Times New Roman"/>
          <w:b/>
          <w:bCs/>
          <w:sz w:val="28"/>
          <w:szCs w:val="28"/>
        </w:rPr>
        <w:t>E</w:t>
      </w:r>
      <w:r w:rsidRPr="0FC6D2D6">
        <w:rPr>
          <w:rFonts w:ascii="Verdana" w:eastAsia="Times New Roman" w:hAnsi="Verdana" w:cs="Times New Roman"/>
          <w:b/>
          <w:bCs/>
          <w:sz w:val="28"/>
          <w:szCs w:val="28"/>
        </w:rPr>
        <w:t xml:space="preserve">ngagement, </w:t>
      </w:r>
      <w:r w:rsidR="00E71066">
        <w:rPr>
          <w:rFonts w:ascii="Verdana" w:eastAsia="Times New Roman" w:hAnsi="Verdana" w:cs="Times New Roman"/>
          <w:b/>
          <w:bCs/>
          <w:sz w:val="28"/>
          <w:szCs w:val="28"/>
        </w:rPr>
        <w:t>I</w:t>
      </w:r>
      <w:r w:rsidRPr="0FC6D2D6">
        <w:rPr>
          <w:rFonts w:ascii="Verdana" w:eastAsia="Times New Roman" w:hAnsi="Verdana" w:cs="Times New Roman"/>
          <w:b/>
          <w:bCs/>
          <w:sz w:val="28"/>
          <w:szCs w:val="28"/>
        </w:rPr>
        <w:t xml:space="preserve">nclusiveness and </w:t>
      </w:r>
      <w:r w:rsidR="00E71066">
        <w:rPr>
          <w:rFonts w:ascii="Verdana" w:eastAsia="Times New Roman" w:hAnsi="Verdana" w:cs="Times New Roman"/>
          <w:b/>
          <w:bCs/>
          <w:sz w:val="28"/>
          <w:szCs w:val="28"/>
        </w:rPr>
        <w:t>Q</w:t>
      </w:r>
      <w:r w:rsidRPr="0FC6D2D6">
        <w:rPr>
          <w:rFonts w:ascii="Verdana" w:eastAsia="Times New Roman" w:hAnsi="Verdana" w:cs="Times New Roman"/>
          <w:b/>
          <w:bCs/>
          <w:sz w:val="28"/>
          <w:szCs w:val="28"/>
        </w:rPr>
        <w:t xml:space="preserve">uality </w:t>
      </w:r>
      <w:r w:rsidR="00E71066">
        <w:rPr>
          <w:rFonts w:ascii="Verdana" w:eastAsia="Times New Roman" w:hAnsi="Verdana" w:cs="Times New Roman"/>
          <w:b/>
          <w:bCs/>
          <w:sz w:val="28"/>
          <w:szCs w:val="28"/>
        </w:rPr>
        <w:t>E</w:t>
      </w:r>
      <w:r w:rsidRPr="0FC6D2D6">
        <w:rPr>
          <w:rFonts w:ascii="Verdana" w:eastAsia="Times New Roman" w:hAnsi="Verdana" w:cs="Times New Roman"/>
          <w:b/>
          <w:bCs/>
          <w:sz w:val="28"/>
          <w:szCs w:val="28"/>
        </w:rPr>
        <w:t xml:space="preserve">ducation through Central and </w:t>
      </w:r>
      <w:r w:rsidR="00895D1C" w:rsidRPr="0FC6D2D6">
        <w:rPr>
          <w:rFonts w:ascii="Verdana" w:eastAsia="Times New Roman" w:hAnsi="Verdana" w:cs="Times New Roman"/>
          <w:b/>
          <w:bCs/>
          <w:sz w:val="28"/>
          <w:szCs w:val="28"/>
        </w:rPr>
        <w:t>Southeastern</w:t>
      </w:r>
      <w:r w:rsidRPr="0FC6D2D6">
        <w:rPr>
          <w:rFonts w:ascii="Verdana" w:eastAsia="Times New Roman" w:hAnsi="Verdana" w:cs="Times New Roman"/>
          <w:b/>
          <w:bCs/>
          <w:sz w:val="28"/>
          <w:szCs w:val="28"/>
        </w:rPr>
        <w:t xml:space="preserve"> European Network for Service-Learning</w:t>
      </w:r>
    </w:p>
    <w:bookmarkEnd w:id="0"/>
    <w:p w14:paraId="0D2EF1E5" w14:textId="58AE72AB" w:rsidR="00DE2E67" w:rsidRDefault="00DE2E67" w:rsidP="0FC6D2D6">
      <w:pPr>
        <w:spacing w:after="0" w:line="276" w:lineRule="auto"/>
        <w:rPr>
          <w:rFonts w:ascii="Verdana" w:eastAsia="Times New Roman" w:hAnsi="Verdana" w:cs="Times New Roman"/>
          <w:b/>
          <w:bCs/>
          <w:sz w:val="24"/>
          <w:szCs w:val="24"/>
        </w:rPr>
      </w:pPr>
      <w:proofErr w:type="spellStart"/>
      <w:r w:rsidRPr="00DE2E67">
        <w:rPr>
          <w:rFonts w:ascii="Verdana" w:eastAsia="Times New Roman" w:hAnsi="Verdana" w:cs="Times New Roman"/>
          <w:b/>
          <w:bCs/>
          <w:sz w:val="24"/>
          <w:szCs w:val="24"/>
        </w:rPr>
        <w:t>Alžbeta</w:t>
      </w:r>
      <w:proofErr w:type="spellEnd"/>
      <w:r w:rsidRPr="00DE2E67">
        <w:rPr>
          <w:rFonts w:ascii="Verdana" w:eastAsia="Times New Roman" w:hAnsi="Verdana" w:cs="Times New Roman"/>
          <w:b/>
          <w:bCs/>
          <w:sz w:val="24"/>
          <w:szCs w:val="24"/>
        </w:rPr>
        <w:t xml:space="preserve"> </w:t>
      </w:r>
      <w:proofErr w:type="spellStart"/>
      <w:r w:rsidRPr="00DE2E67">
        <w:rPr>
          <w:rFonts w:ascii="Verdana" w:eastAsia="Times New Roman" w:hAnsi="Verdana" w:cs="Times New Roman"/>
          <w:b/>
          <w:bCs/>
          <w:sz w:val="24"/>
          <w:szCs w:val="24"/>
        </w:rPr>
        <w:t>Brozmanová</w:t>
      </w:r>
      <w:proofErr w:type="spellEnd"/>
      <w:r>
        <w:rPr>
          <w:rFonts w:ascii="Verdana" w:eastAsia="Times New Roman" w:hAnsi="Verdana" w:cs="Times New Roman"/>
          <w:b/>
          <w:bCs/>
          <w:sz w:val="24"/>
          <w:szCs w:val="24"/>
        </w:rPr>
        <w:t xml:space="preserve"> </w:t>
      </w:r>
      <w:proofErr w:type="spellStart"/>
      <w:r w:rsidRPr="00DE2E67">
        <w:rPr>
          <w:rFonts w:ascii="Verdana" w:eastAsia="Times New Roman" w:hAnsi="Verdana" w:cs="Times New Roman"/>
          <w:b/>
          <w:bCs/>
          <w:sz w:val="24"/>
          <w:szCs w:val="24"/>
        </w:rPr>
        <w:t>Gregorová</w:t>
      </w:r>
      <w:proofErr w:type="spellEnd"/>
      <w:r w:rsidR="000E1321">
        <w:rPr>
          <w:rFonts w:ascii="Verdana" w:eastAsia="Times New Roman" w:hAnsi="Verdana" w:cs="Times New Roman"/>
          <w:b/>
          <w:bCs/>
          <w:sz w:val="24"/>
          <w:szCs w:val="24"/>
        </w:rPr>
        <w:t xml:space="preserve"> </w:t>
      </w:r>
    </w:p>
    <w:p w14:paraId="357CE29E" w14:textId="77777777" w:rsidR="00DE2E67" w:rsidRDefault="00DE2E67" w:rsidP="00DE2E67">
      <w:pPr>
        <w:spacing w:after="0" w:line="276" w:lineRule="auto"/>
        <w:rPr>
          <w:rFonts w:ascii="Verdana" w:eastAsia="Times New Roman" w:hAnsi="Verdana" w:cs="Times New Roman"/>
          <w:b/>
          <w:bCs/>
          <w:sz w:val="24"/>
          <w:szCs w:val="24"/>
        </w:rPr>
      </w:pPr>
      <w:hyperlink r:id="rId8" w:history="1">
        <w:r w:rsidRPr="00436B29">
          <w:rPr>
            <w:rStyle w:val="Hyperlink"/>
            <w:rFonts w:ascii="Verdana" w:hAnsi="Verdana"/>
          </w:rPr>
          <w:t>alzbeta.gregorova@umb.sk</w:t>
        </w:r>
      </w:hyperlink>
    </w:p>
    <w:p w14:paraId="4A30F74E" w14:textId="7BBA4F30" w:rsidR="00DE2E67" w:rsidRPr="00DE2E67" w:rsidRDefault="00DE2E67" w:rsidP="00DE2E67">
      <w:pPr>
        <w:spacing w:after="0" w:line="276" w:lineRule="auto"/>
        <w:rPr>
          <w:rFonts w:ascii="Verdana" w:eastAsia="Times New Roman" w:hAnsi="Verdana" w:cs="Times New Roman"/>
          <w:b/>
          <w:bCs/>
          <w:sz w:val="24"/>
          <w:szCs w:val="24"/>
        </w:rPr>
      </w:pPr>
      <w:hyperlink r:id="rId9" w:history="1">
        <w:r w:rsidRPr="00DE2E67">
          <w:rPr>
            <w:rStyle w:val="Hyperlink"/>
            <w:rFonts w:ascii="Verdana" w:hAnsi="Verdana"/>
          </w:rPr>
          <w:t>0000-0001-8559-8512</w:t>
        </w:r>
      </w:hyperlink>
    </w:p>
    <w:p w14:paraId="21E6C512" w14:textId="5FC194F9" w:rsidR="00DE2E67" w:rsidRDefault="00DE2E67" w:rsidP="009F2248">
      <w:pPr>
        <w:spacing w:after="240" w:line="276" w:lineRule="auto"/>
        <w:jc w:val="both"/>
        <w:rPr>
          <w:rFonts w:ascii="Verdana" w:hAnsi="Verdana" w:cs="Times New Roman"/>
        </w:rPr>
      </w:pPr>
      <w:r w:rsidRPr="00DE2E67">
        <w:rPr>
          <w:rFonts w:ascii="Verdana" w:hAnsi="Verdana" w:cs="Times New Roman"/>
        </w:rPr>
        <w:t>Matej Bel University</w:t>
      </w:r>
      <w:r>
        <w:rPr>
          <w:rFonts w:ascii="Verdana" w:hAnsi="Verdana" w:cs="Times New Roman"/>
        </w:rPr>
        <w:t>, Slovakia</w:t>
      </w:r>
    </w:p>
    <w:p w14:paraId="78C9546D" w14:textId="77777777" w:rsidR="000313A6" w:rsidRPr="000313A6" w:rsidRDefault="000313A6" w:rsidP="000313A6">
      <w:pPr>
        <w:spacing w:after="0" w:line="276" w:lineRule="auto"/>
        <w:jc w:val="both"/>
        <w:rPr>
          <w:rFonts w:ascii="Verdana" w:hAnsi="Verdana" w:cs="Times New Roman"/>
          <w:b/>
          <w:bCs/>
          <w:sz w:val="24"/>
          <w:szCs w:val="24"/>
          <w:lang w:val="en-ES"/>
        </w:rPr>
      </w:pPr>
      <w:r w:rsidRPr="000313A6">
        <w:rPr>
          <w:rFonts w:ascii="Verdana" w:hAnsi="Verdana" w:cs="Times New Roman"/>
          <w:b/>
          <w:bCs/>
          <w:sz w:val="24"/>
          <w:szCs w:val="24"/>
          <w:lang w:val="en-ES"/>
        </w:rPr>
        <w:t>Edina Malkic</w:t>
      </w:r>
    </w:p>
    <w:p w14:paraId="5D2D9270" w14:textId="77777777" w:rsidR="000313A6" w:rsidRPr="000313A6" w:rsidRDefault="000313A6" w:rsidP="000313A6">
      <w:pPr>
        <w:spacing w:after="0" w:line="276" w:lineRule="auto"/>
        <w:jc w:val="both"/>
        <w:rPr>
          <w:rFonts w:ascii="Verdana" w:hAnsi="Verdana" w:cs="Times New Roman"/>
          <w:lang w:val="en-ES"/>
        </w:rPr>
      </w:pPr>
      <w:hyperlink r:id="rId10" w:tooltip="mailto:muios@ioskole.net" w:history="1">
        <w:r w:rsidRPr="000313A6">
          <w:rPr>
            <w:rStyle w:val="Hyperlink"/>
            <w:rFonts w:ascii="Verdana" w:hAnsi="Verdana" w:cs="Times New Roman"/>
            <w:lang w:val="en-ES"/>
          </w:rPr>
          <w:t>muios@ioskole.net</w:t>
        </w:r>
      </w:hyperlink>
    </w:p>
    <w:p w14:paraId="7C525627" w14:textId="29484434" w:rsidR="000313A6" w:rsidRPr="000313A6" w:rsidRDefault="000313A6" w:rsidP="000313A6">
      <w:pPr>
        <w:spacing w:line="276" w:lineRule="auto"/>
        <w:jc w:val="both"/>
        <w:rPr>
          <w:rFonts w:ascii="Verdana" w:hAnsi="Verdana" w:cs="Times New Roman"/>
          <w:lang w:val="en-ES"/>
        </w:rPr>
      </w:pPr>
      <w:r w:rsidRPr="000313A6">
        <w:rPr>
          <w:rFonts w:ascii="Verdana" w:hAnsi="Verdana" w:cs="Times New Roman"/>
          <w:lang w:val="en-ES"/>
        </w:rPr>
        <w:t>Međunarodno udruženje Interaktivne otvorene škole, Bosnia and Herzegovina</w:t>
      </w:r>
    </w:p>
    <w:p w14:paraId="2F770530" w14:textId="77777777" w:rsidR="000313A6" w:rsidRPr="000313A6" w:rsidRDefault="000313A6" w:rsidP="000313A6">
      <w:pPr>
        <w:spacing w:after="0" w:line="276" w:lineRule="auto"/>
        <w:jc w:val="both"/>
        <w:rPr>
          <w:rFonts w:ascii="Verdana" w:hAnsi="Verdana" w:cs="Times New Roman"/>
          <w:b/>
          <w:bCs/>
          <w:sz w:val="24"/>
          <w:szCs w:val="24"/>
          <w:lang w:val="en-ES"/>
        </w:rPr>
      </w:pPr>
      <w:r w:rsidRPr="000313A6">
        <w:rPr>
          <w:rFonts w:ascii="Verdana" w:hAnsi="Verdana" w:cs="Times New Roman"/>
          <w:b/>
          <w:bCs/>
          <w:sz w:val="24"/>
          <w:szCs w:val="24"/>
          <w:lang w:val="en-ES"/>
        </w:rPr>
        <w:t>Maria Butyka</w:t>
      </w:r>
    </w:p>
    <w:p w14:paraId="6A21F05D" w14:textId="4E88141C" w:rsidR="000313A6" w:rsidRDefault="000313A6" w:rsidP="000313A6">
      <w:pPr>
        <w:spacing w:after="0" w:line="276" w:lineRule="auto"/>
        <w:jc w:val="both"/>
        <w:rPr>
          <w:rFonts w:ascii="Verdana" w:hAnsi="Verdana" w:cs="Times New Roman"/>
        </w:rPr>
      </w:pPr>
      <w:hyperlink r:id="rId11" w:tooltip="mailto:maria_neagu@noi-orizonturi.ro" w:history="1">
        <w:r w:rsidRPr="000313A6">
          <w:rPr>
            <w:rStyle w:val="Hyperlink"/>
            <w:rFonts w:ascii="Verdana" w:hAnsi="Verdana" w:cs="Times New Roman"/>
            <w:lang w:val="en-ES"/>
          </w:rPr>
          <w:t>maria_neagu@noi-orizonturi.ro</w:t>
        </w:r>
      </w:hyperlink>
    </w:p>
    <w:p w14:paraId="7DC01C83" w14:textId="55785B06" w:rsidR="000313A6" w:rsidRPr="000313A6" w:rsidRDefault="000313A6" w:rsidP="000313A6">
      <w:pPr>
        <w:spacing w:after="0" w:line="276" w:lineRule="auto"/>
        <w:jc w:val="both"/>
        <w:rPr>
          <w:rFonts w:ascii="Verdana" w:hAnsi="Verdana" w:cs="Times New Roman"/>
          <w:lang w:val="en-ES"/>
        </w:rPr>
      </w:pPr>
      <w:r w:rsidRPr="000313A6">
        <w:rPr>
          <w:rFonts w:ascii="Verdana" w:hAnsi="Verdana" w:cs="Times New Roman"/>
          <w:lang w:val="en-ES"/>
        </w:rPr>
        <w:t>New Horizons Foundation, Romania </w:t>
      </w:r>
    </w:p>
    <w:p w14:paraId="7240359C" w14:textId="77777777" w:rsidR="000313A6" w:rsidRPr="000313A6" w:rsidRDefault="000313A6" w:rsidP="000313A6">
      <w:pPr>
        <w:spacing w:before="240" w:after="0" w:line="276" w:lineRule="auto"/>
        <w:jc w:val="both"/>
        <w:rPr>
          <w:rFonts w:ascii="Verdana" w:hAnsi="Verdana" w:cs="Times New Roman"/>
          <w:b/>
          <w:bCs/>
          <w:sz w:val="24"/>
          <w:szCs w:val="24"/>
          <w:lang w:val="en-ES"/>
        </w:rPr>
      </w:pPr>
      <w:r w:rsidRPr="000313A6">
        <w:rPr>
          <w:rFonts w:ascii="Verdana" w:hAnsi="Verdana" w:cs="Times New Roman"/>
          <w:b/>
          <w:bCs/>
          <w:sz w:val="24"/>
          <w:szCs w:val="24"/>
          <w:lang w:val="en-ES"/>
        </w:rPr>
        <w:t>Hatixhe Zeka</w:t>
      </w:r>
    </w:p>
    <w:p w14:paraId="4E12C1A7" w14:textId="03534F39" w:rsidR="000313A6" w:rsidRDefault="000313A6" w:rsidP="000313A6">
      <w:pPr>
        <w:spacing w:after="0" w:line="276" w:lineRule="auto"/>
        <w:jc w:val="both"/>
        <w:rPr>
          <w:rFonts w:ascii="Verdana" w:hAnsi="Verdana" w:cs="Times New Roman"/>
          <w:lang w:val="en-ES"/>
        </w:rPr>
      </w:pPr>
      <w:hyperlink r:id="rId12" w:tooltip="mailto:hatixhe@toka-ks.org" w:history="1">
        <w:r w:rsidRPr="000313A6">
          <w:rPr>
            <w:rStyle w:val="Hyperlink"/>
            <w:rFonts w:ascii="Verdana" w:hAnsi="Verdana" w:cs="Times New Roman"/>
            <w:lang w:val="en-ES"/>
          </w:rPr>
          <w:t>hatixhe@toka-ks.org</w:t>
        </w:r>
      </w:hyperlink>
    </w:p>
    <w:p w14:paraId="281A457C" w14:textId="41F3EDB8" w:rsidR="000313A6" w:rsidRPr="000313A6" w:rsidRDefault="000313A6" w:rsidP="000313A6">
      <w:pPr>
        <w:spacing w:line="276" w:lineRule="auto"/>
        <w:jc w:val="both"/>
        <w:rPr>
          <w:rFonts w:ascii="Verdana" w:hAnsi="Verdana" w:cs="Times New Roman"/>
          <w:lang w:val="en-ES"/>
        </w:rPr>
      </w:pPr>
      <w:r w:rsidRPr="000313A6">
        <w:rPr>
          <w:rFonts w:ascii="Verdana" w:hAnsi="Verdana" w:cs="Times New Roman"/>
          <w:lang w:val="en-ES"/>
        </w:rPr>
        <w:t>TOKA, Kosova</w:t>
      </w:r>
    </w:p>
    <w:p w14:paraId="2A902FAD" w14:textId="77777777" w:rsidR="000313A6" w:rsidRDefault="000313A6" w:rsidP="000313A6">
      <w:pPr>
        <w:spacing w:after="0" w:line="276" w:lineRule="auto"/>
        <w:jc w:val="both"/>
        <w:rPr>
          <w:rFonts w:ascii="Verdana" w:hAnsi="Verdana" w:cs="Times New Roman"/>
          <w:lang w:val="en-ES"/>
        </w:rPr>
      </w:pPr>
      <w:r w:rsidRPr="000313A6">
        <w:rPr>
          <w:rFonts w:ascii="Verdana" w:hAnsi="Verdana" w:cs="Times New Roman"/>
          <w:b/>
          <w:bCs/>
          <w:sz w:val="24"/>
          <w:szCs w:val="24"/>
          <w:lang w:val="en-ES"/>
        </w:rPr>
        <w:t>Simina Bejenaru</w:t>
      </w:r>
    </w:p>
    <w:p w14:paraId="409C0B72" w14:textId="3741A5E6" w:rsidR="000313A6" w:rsidRDefault="000313A6" w:rsidP="000313A6">
      <w:pPr>
        <w:spacing w:after="0" w:line="276" w:lineRule="auto"/>
        <w:jc w:val="both"/>
        <w:rPr>
          <w:rFonts w:ascii="Verdana" w:hAnsi="Verdana" w:cs="Times New Roman"/>
          <w:lang w:val="en-ES"/>
        </w:rPr>
      </w:pPr>
      <w:hyperlink r:id="rId13" w:tooltip="mailto:simina@selegro.ro" w:history="1">
        <w:r w:rsidRPr="000313A6">
          <w:rPr>
            <w:rStyle w:val="Hyperlink"/>
            <w:rFonts w:ascii="Verdana" w:hAnsi="Verdana" w:cs="Times New Roman"/>
            <w:lang w:val="en-ES"/>
          </w:rPr>
          <w:t>simina@selegro.ro</w:t>
        </w:r>
      </w:hyperlink>
    </w:p>
    <w:p w14:paraId="7582D04D" w14:textId="367E0AE4" w:rsidR="000313A6" w:rsidRPr="000313A6" w:rsidRDefault="000313A6" w:rsidP="000313A6">
      <w:pPr>
        <w:spacing w:after="240" w:line="276" w:lineRule="auto"/>
        <w:jc w:val="both"/>
        <w:rPr>
          <w:rFonts w:ascii="Verdana" w:hAnsi="Verdana" w:cs="Times New Roman"/>
          <w:lang w:val="en-ES"/>
        </w:rPr>
      </w:pPr>
      <w:r w:rsidRPr="000313A6">
        <w:rPr>
          <w:rFonts w:ascii="Verdana" w:hAnsi="Verdana" w:cs="Times New Roman"/>
          <w:lang w:val="en-ES"/>
        </w:rPr>
        <w:t>Selegro, Romania </w:t>
      </w:r>
    </w:p>
    <w:p w14:paraId="5B8E61B3" w14:textId="09266B15" w:rsidR="006076EF" w:rsidRPr="009F2248" w:rsidRDefault="001929A9" w:rsidP="009F2248">
      <w:pPr>
        <w:spacing w:after="240" w:line="276" w:lineRule="auto"/>
        <w:jc w:val="both"/>
        <w:rPr>
          <w:rFonts w:ascii="Verdana" w:eastAsia="Times New Roman" w:hAnsi="Verdana" w:cs="Times New Roman"/>
          <w:b/>
          <w:sz w:val="24"/>
          <w:szCs w:val="24"/>
        </w:rPr>
      </w:pPr>
      <w:r w:rsidRPr="0FC6D2D6">
        <w:rPr>
          <w:rFonts w:ascii="Verdana" w:eastAsia="Times New Roman" w:hAnsi="Verdana" w:cs="Times New Roman"/>
          <w:b/>
          <w:bCs/>
          <w:sz w:val="24"/>
          <w:szCs w:val="24"/>
        </w:rPr>
        <w:t>Abstract</w:t>
      </w:r>
    </w:p>
    <w:p w14:paraId="11003AE4" w14:textId="36CCD46F" w:rsidR="6B808847" w:rsidRDefault="6B808847"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 xml:space="preserve">This study provides an in-depth analysis of the specificities of actor networking within the Central and </w:t>
      </w:r>
      <w:r w:rsidR="00895D1C" w:rsidRPr="0FC6D2D6">
        <w:rPr>
          <w:rFonts w:ascii="Verdana" w:eastAsia="Times New Roman" w:hAnsi="Verdana" w:cs="Times New Roman"/>
        </w:rPr>
        <w:t>Southeastern</w:t>
      </w:r>
      <w:r w:rsidRPr="0FC6D2D6">
        <w:rPr>
          <w:rFonts w:ascii="Verdana" w:eastAsia="Times New Roman" w:hAnsi="Verdana" w:cs="Times New Roman"/>
        </w:rPr>
        <w:t xml:space="preserve"> European Network for Service-Learning. It presents the context that led to the network's emergence in the region. The paper then delves into the network's main activities, highlighting how its collaborative initiatives have facilitated cross-border knowledge exchange, training programs, the establishment of a Regional Service-Learning Award, and advocacy for policy changes to </w:t>
      </w:r>
      <w:proofErr w:type="spellStart"/>
      <w:r w:rsidRPr="0FC6D2D6">
        <w:rPr>
          <w:rFonts w:ascii="Verdana" w:eastAsia="Times New Roman" w:hAnsi="Verdana" w:cs="Times New Roman"/>
        </w:rPr>
        <w:t>institutionalise</w:t>
      </w:r>
      <w:proofErr w:type="spellEnd"/>
      <w:r w:rsidRPr="0FC6D2D6">
        <w:rPr>
          <w:rFonts w:ascii="Verdana" w:eastAsia="Times New Roman" w:hAnsi="Verdana" w:cs="Times New Roman"/>
        </w:rPr>
        <w:t xml:space="preserve"> service-learning across Central and Eastern Europe. A dedicated section of the study is focused on evaluating the network's impact on its member organisations and the region's broader advancement of service-learning pedagogy. This includes an examination of the benefits that organisations have experienced by being part of the network, as well as the network's contribution to the growth and sustainability of service-learning initiatives. Finally, the study reflects on the CSEE Network for Service</w:t>
      </w:r>
      <w:r w:rsidR="00895D1C">
        <w:rPr>
          <w:rFonts w:ascii="Verdana" w:eastAsia="Times New Roman" w:hAnsi="Verdana" w:cs="Times New Roman"/>
        </w:rPr>
        <w:t>-L</w:t>
      </w:r>
      <w:r w:rsidRPr="0FC6D2D6">
        <w:rPr>
          <w:rFonts w:ascii="Verdana" w:eastAsia="Times New Roman" w:hAnsi="Verdana" w:cs="Times New Roman"/>
        </w:rPr>
        <w:t>earning prospects, exploring strategies and opportunities for further strengthening regional collaboration and highlighting the long-term benefits of networking for promoting service-learning in Central and Eastern Europe.</w:t>
      </w:r>
    </w:p>
    <w:p w14:paraId="40AACB48" w14:textId="504F604A" w:rsidR="00E47DF3" w:rsidRDefault="001929A9" w:rsidP="0FC6D2D6">
      <w:pPr>
        <w:widowControl w:val="0"/>
        <w:spacing w:before="200" w:after="240" w:line="276" w:lineRule="auto"/>
        <w:jc w:val="both"/>
        <w:rPr>
          <w:rFonts w:ascii="Verdana" w:eastAsia="Times New Roman" w:hAnsi="Verdana" w:cs="Times New Roman"/>
          <w:lang w:val="es-ES"/>
        </w:rPr>
      </w:pPr>
      <w:r w:rsidRPr="0FC6D2D6">
        <w:rPr>
          <w:rFonts w:ascii="Verdana" w:eastAsia="Times New Roman" w:hAnsi="Verdana" w:cs="Times New Roman"/>
          <w:b/>
          <w:bCs/>
          <w:sz w:val="24"/>
          <w:szCs w:val="24"/>
        </w:rPr>
        <w:lastRenderedPageBreak/>
        <w:t>Keywords</w:t>
      </w:r>
      <w:r w:rsidR="009F2248" w:rsidRPr="0FC6D2D6">
        <w:rPr>
          <w:rFonts w:ascii="Verdana" w:eastAsia="Times New Roman" w:hAnsi="Verdana" w:cs="Times New Roman"/>
          <w:b/>
          <w:bCs/>
        </w:rPr>
        <w:t xml:space="preserve">: </w:t>
      </w:r>
      <w:r w:rsidR="2EDB9FA1" w:rsidRPr="0FC6D2D6">
        <w:rPr>
          <w:rFonts w:ascii="Verdana" w:eastAsia="Times New Roman" w:hAnsi="Verdana" w:cs="Times New Roman"/>
        </w:rPr>
        <w:t>service-learning, networking, Central and Eastern Europe</w:t>
      </w:r>
      <w:r w:rsidR="030E4A87" w:rsidRPr="0FC6D2D6">
        <w:rPr>
          <w:rFonts w:ascii="Verdana" w:eastAsia="Times New Roman" w:hAnsi="Verdana" w:cs="Times New Roman"/>
        </w:rPr>
        <w:t>.</w:t>
      </w:r>
    </w:p>
    <w:p w14:paraId="6C481EE1" w14:textId="77777777" w:rsidR="00DE2E67" w:rsidRDefault="00DE2E67" w:rsidP="000313A6">
      <w:pPr>
        <w:widowControl w:val="0"/>
        <w:spacing w:before="200" w:after="200" w:line="240" w:lineRule="auto"/>
        <w:rPr>
          <w:rFonts w:ascii="Verdana" w:eastAsia="Verdana" w:hAnsi="Verdana" w:cs="Verdana"/>
          <w:color w:val="000000" w:themeColor="text1"/>
          <w:sz w:val="18"/>
          <w:szCs w:val="18"/>
          <w:highlight w:val="yellow"/>
          <w:lang w:val="es-ES"/>
        </w:rPr>
      </w:pPr>
    </w:p>
    <w:p w14:paraId="520AC984" w14:textId="77777777" w:rsidR="00572854" w:rsidRDefault="00572854" w:rsidP="00572854">
      <w:pPr>
        <w:widowControl w:val="0"/>
        <w:spacing w:before="200" w:after="200" w:line="240" w:lineRule="auto"/>
        <w:rPr>
          <w:rFonts w:ascii="Verdana" w:eastAsia="Verdana" w:hAnsi="Verdana" w:cs="Verdana"/>
          <w:color w:val="000000" w:themeColor="text1"/>
          <w:sz w:val="18"/>
          <w:szCs w:val="18"/>
          <w:lang w:val="es-ES"/>
        </w:rPr>
      </w:pPr>
    </w:p>
    <w:p w14:paraId="40D3C785" w14:textId="4F1E21FD" w:rsidR="00E47DF3" w:rsidRDefault="00E47DF3" w:rsidP="0FC6D2D6">
      <w:pPr>
        <w:widowControl w:val="0"/>
        <w:spacing w:before="200" w:after="200" w:line="240" w:lineRule="auto"/>
        <w:jc w:val="center"/>
        <w:rPr>
          <w:rFonts w:ascii="Verdana" w:eastAsia="Verdana" w:hAnsi="Verdana" w:cs="Verdana"/>
          <w:color w:val="000000" w:themeColor="text1"/>
          <w:sz w:val="18"/>
          <w:szCs w:val="18"/>
        </w:rPr>
      </w:pPr>
      <w:r w:rsidRPr="00DE2E67">
        <w:rPr>
          <w:rFonts w:ascii="Verdana" w:eastAsia="Verdana" w:hAnsi="Verdana" w:cs="Verdana"/>
          <w:color w:val="000000" w:themeColor="text1"/>
          <w:sz w:val="18"/>
          <w:szCs w:val="18"/>
          <w:lang w:val="es-ES"/>
        </w:rPr>
        <w:t>Recibido: 2</w:t>
      </w:r>
      <w:r w:rsidR="00DE2E67" w:rsidRPr="00DE2E67">
        <w:rPr>
          <w:rFonts w:ascii="Verdana" w:eastAsia="Verdana" w:hAnsi="Verdana" w:cs="Verdana"/>
          <w:color w:val="000000" w:themeColor="text1"/>
          <w:sz w:val="18"/>
          <w:szCs w:val="18"/>
          <w:lang w:val="es-ES"/>
        </w:rPr>
        <w:t>1</w:t>
      </w:r>
      <w:r w:rsidRPr="00DE2E67">
        <w:rPr>
          <w:rFonts w:ascii="Verdana" w:eastAsia="Verdana" w:hAnsi="Verdana" w:cs="Verdana"/>
          <w:color w:val="000000" w:themeColor="text1"/>
          <w:sz w:val="18"/>
          <w:szCs w:val="18"/>
          <w:lang w:val="es-ES"/>
        </w:rPr>
        <w:t>/I</w:t>
      </w:r>
      <w:r w:rsidR="00DE2E67" w:rsidRPr="00DE2E67">
        <w:rPr>
          <w:rFonts w:ascii="Verdana" w:eastAsia="Verdana" w:hAnsi="Verdana" w:cs="Verdana"/>
          <w:color w:val="000000" w:themeColor="text1"/>
          <w:sz w:val="18"/>
          <w:szCs w:val="18"/>
          <w:lang w:val="es-ES"/>
        </w:rPr>
        <w:t>X</w:t>
      </w:r>
      <w:r w:rsidRPr="00DE2E67">
        <w:rPr>
          <w:rFonts w:ascii="Verdana" w:eastAsia="Verdana" w:hAnsi="Verdana" w:cs="Verdana"/>
          <w:color w:val="000000" w:themeColor="text1"/>
          <w:sz w:val="18"/>
          <w:szCs w:val="18"/>
          <w:lang w:val="es-ES"/>
        </w:rPr>
        <w:t>/202</w:t>
      </w:r>
      <w:r w:rsidR="006159B8" w:rsidRPr="00DE2E67">
        <w:rPr>
          <w:rFonts w:ascii="Verdana" w:eastAsia="Verdana" w:hAnsi="Verdana" w:cs="Verdana"/>
          <w:color w:val="000000" w:themeColor="text1"/>
          <w:sz w:val="18"/>
          <w:szCs w:val="18"/>
          <w:lang w:val="es-ES"/>
        </w:rPr>
        <w:t>4</w:t>
      </w:r>
      <w:r w:rsidRPr="00DE2E67">
        <w:tab/>
      </w:r>
      <w:r w:rsidRPr="00DE2E67">
        <w:tab/>
      </w:r>
      <w:r w:rsidRPr="00DE2E67">
        <w:rPr>
          <w:rFonts w:ascii="Verdana" w:eastAsia="Verdana" w:hAnsi="Verdana" w:cs="Verdana"/>
          <w:color w:val="000000" w:themeColor="text1"/>
          <w:sz w:val="18"/>
          <w:szCs w:val="18"/>
          <w:lang w:val="es-ES"/>
        </w:rPr>
        <w:t xml:space="preserve">Aceptado: </w:t>
      </w:r>
      <w:r w:rsidR="00DE2E67" w:rsidRPr="00DE2E67">
        <w:rPr>
          <w:rFonts w:ascii="Verdana" w:eastAsia="Verdana" w:hAnsi="Verdana" w:cs="Verdana"/>
          <w:color w:val="000000" w:themeColor="text1"/>
          <w:sz w:val="18"/>
          <w:szCs w:val="18"/>
          <w:lang w:val="es-ES"/>
        </w:rPr>
        <w:t>17</w:t>
      </w:r>
      <w:r w:rsidRPr="00DE2E67">
        <w:rPr>
          <w:rFonts w:ascii="Verdana" w:eastAsia="Verdana" w:hAnsi="Verdana" w:cs="Verdana"/>
          <w:color w:val="000000" w:themeColor="text1"/>
          <w:sz w:val="18"/>
          <w:szCs w:val="18"/>
          <w:lang w:val="es-ES"/>
        </w:rPr>
        <w:t>/</w:t>
      </w:r>
      <w:r w:rsidR="00DE2E67" w:rsidRPr="00DE2E67">
        <w:rPr>
          <w:rFonts w:ascii="Verdana" w:eastAsia="Verdana" w:hAnsi="Verdana" w:cs="Verdana"/>
          <w:color w:val="000000" w:themeColor="text1"/>
          <w:sz w:val="18"/>
          <w:szCs w:val="18"/>
          <w:lang w:val="es-ES"/>
        </w:rPr>
        <w:t>XI</w:t>
      </w:r>
      <w:r w:rsidRPr="00DE2E67">
        <w:rPr>
          <w:rFonts w:ascii="Verdana" w:eastAsia="Verdana" w:hAnsi="Verdana" w:cs="Verdana"/>
          <w:color w:val="000000" w:themeColor="text1"/>
          <w:sz w:val="18"/>
          <w:szCs w:val="18"/>
          <w:lang w:val="es-ES"/>
        </w:rPr>
        <w:t>/202</w:t>
      </w:r>
      <w:r w:rsidR="006159B8" w:rsidRPr="00DE2E67">
        <w:rPr>
          <w:rFonts w:ascii="Verdana" w:eastAsia="Verdana" w:hAnsi="Verdana" w:cs="Verdana"/>
          <w:color w:val="000000" w:themeColor="text1"/>
          <w:sz w:val="18"/>
          <w:szCs w:val="18"/>
          <w:lang w:val="es-ES"/>
        </w:rPr>
        <w:t>4</w:t>
      </w:r>
      <w:r w:rsidRPr="00DE2E67">
        <w:tab/>
      </w:r>
      <w:r w:rsidRPr="00DE2E67">
        <w:tab/>
      </w:r>
      <w:r w:rsidRPr="00DE2E67">
        <w:rPr>
          <w:rFonts w:ascii="Verdana" w:eastAsia="Verdana" w:hAnsi="Verdana" w:cs="Verdana"/>
          <w:color w:val="000000" w:themeColor="text1"/>
          <w:sz w:val="18"/>
          <w:szCs w:val="18"/>
          <w:lang w:val="es-ES"/>
        </w:rPr>
        <w:t>Publicado: 2</w:t>
      </w:r>
      <w:r w:rsidR="006159B8" w:rsidRPr="00DE2E67">
        <w:rPr>
          <w:rFonts w:ascii="Verdana" w:eastAsia="Verdana" w:hAnsi="Verdana" w:cs="Verdana"/>
          <w:color w:val="000000" w:themeColor="text1"/>
          <w:sz w:val="18"/>
          <w:szCs w:val="18"/>
          <w:lang w:val="es-ES"/>
        </w:rPr>
        <w:t>9</w:t>
      </w:r>
      <w:r w:rsidRPr="00DE2E67">
        <w:rPr>
          <w:rFonts w:ascii="Verdana" w:eastAsia="Verdana" w:hAnsi="Verdana" w:cs="Verdana"/>
          <w:color w:val="000000" w:themeColor="text1"/>
          <w:sz w:val="18"/>
          <w:szCs w:val="18"/>
          <w:lang w:val="es-ES"/>
        </w:rPr>
        <w:t>/</w:t>
      </w:r>
      <w:r w:rsidR="00DE2E67" w:rsidRPr="00DE2E67">
        <w:rPr>
          <w:rFonts w:ascii="Verdana" w:eastAsia="Verdana" w:hAnsi="Verdana" w:cs="Verdana"/>
          <w:color w:val="000000" w:themeColor="text1"/>
          <w:sz w:val="18"/>
          <w:szCs w:val="18"/>
          <w:lang w:val="es-ES"/>
        </w:rPr>
        <w:t>XI</w:t>
      </w:r>
      <w:r w:rsidRPr="00DE2E67">
        <w:rPr>
          <w:rFonts w:ascii="Verdana" w:eastAsia="Verdana" w:hAnsi="Verdana" w:cs="Verdana"/>
          <w:color w:val="000000" w:themeColor="text1"/>
          <w:sz w:val="18"/>
          <w:szCs w:val="18"/>
          <w:lang w:val="es-ES"/>
        </w:rPr>
        <w:t>/202</w:t>
      </w:r>
      <w:r w:rsidR="006159B8" w:rsidRPr="00DE2E67">
        <w:rPr>
          <w:rFonts w:ascii="Verdana" w:eastAsia="Verdana" w:hAnsi="Verdana" w:cs="Verdana"/>
          <w:color w:val="000000" w:themeColor="text1"/>
          <w:sz w:val="18"/>
          <w:szCs w:val="18"/>
          <w:lang w:val="es-ES"/>
        </w:rPr>
        <w:t>4</w:t>
      </w:r>
    </w:p>
    <w:p w14:paraId="29F3E1CE" w14:textId="77777777" w:rsidR="00572854" w:rsidRDefault="00E47DF3" w:rsidP="00E47DF3">
      <w:pPr>
        <w:spacing w:after="240" w:line="276" w:lineRule="auto"/>
        <w:jc w:val="both"/>
        <w:rPr>
          <w:rFonts w:ascii="Verdana" w:eastAsia="Verdana" w:hAnsi="Verdana" w:cs="Verdana"/>
          <w:color w:val="000000" w:themeColor="text1"/>
          <w:sz w:val="18"/>
          <w:szCs w:val="18"/>
          <w:lang w:val="es-ES"/>
        </w:rPr>
      </w:pPr>
      <w:r w:rsidRPr="4E497E94">
        <w:rPr>
          <w:rFonts w:ascii="Verdana" w:eastAsia="Verdana" w:hAnsi="Verdana" w:cs="Verdana"/>
          <w:color w:val="000000" w:themeColor="text1"/>
          <w:sz w:val="18"/>
          <w:szCs w:val="18"/>
          <w:lang w:val="es-ES"/>
        </w:rPr>
        <w:t>© 202</w:t>
      </w:r>
      <w:r>
        <w:rPr>
          <w:rFonts w:ascii="Verdana" w:eastAsia="Verdana" w:hAnsi="Verdana" w:cs="Verdana"/>
          <w:color w:val="000000" w:themeColor="text1"/>
          <w:sz w:val="18"/>
          <w:szCs w:val="18"/>
          <w:lang w:val="es-ES"/>
        </w:rPr>
        <w:t>4</w:t>
      </w:r>
      <w:r w:rsidRPr="4E497E94">
        <w:rPr>
          <w:rFonts w:ascii="Verdana" w:eastAsia="Verdana" w:hAnsi="Verdana" w:cs="Verdana"/>
          <w:color w:val="000000" w:themeColor="text1"/>
          <w:sz w:val="18"/>
          <w:szCs w:val="18"/>
          <w:lang w:val="es-ES"/>
        </w:rPr>
        <w:t xml:space="preserve"> El autor. Este artículo es de acceso abierto sujeto a la licencia Reconocimiento 4.0 Internacional de Creative </w:t>
      </w:r>
      <w:proofErr w:type="spellStart"/>
      <w:r w:rsidRPr="4E497E94">
        <w:rPr>
          <w:rFonts w:ascii="Verdana" w:eastAsia="Verdana" w:hAnsi="Verdana" w:cs="Verdana"/>
          <w:color w:val="000000" w:themeColor="text1"/>
          <w:sz w:val="18"/>
          <w:szCs w:val="18"/>
          <w:lang w:val="es-ES"/>
        </w:rPr>
        <w:t>Commons</w:t>
      </w:r>
      <w:proofErr w:type="spellEnd"/>
      <w:r w:rsidRPr="4E497E94">
        <w:rPr>
          <w:rFonts w:ascii="Verdana" w:eastAsia="Verdana" w:hAnsi="Verdana" w:cs="Verdana"/>
          <w:color w:val="000000" w:themeColor="text1"/>
          <w:sz w:val="18"/>
          <w:szCs w:val="18"/>
          <w:lang w:val="es-ES"/>
        </w:rPr>
        <w:t>, la cual permite utilizar, distribuir y reproducir por cualquier medio sin restricciones siempre que se cite adecuadamente la obra original. Para ver una copia de esta licencia, visitehttps://creativecommons.org/licenses/by/4.0/</w:t>
      </w:r>
    </w:p>
    <w:p w14:paraId="302A9469" w14:textId="77777777" w:rsidR="00572854" w:rsidRDefault="00572854" w:rsidP="00895D1C">
      <w:pPr>
        <w:spacing w:after="240" w:line="276" w:lineRule="auto"/>
        <w:rPr>
          <w:rFonts w:ascii="Verdana" w:hAnsi="Verdana"/>
        </w:rPr>
      </w:pPr>
    </w:p>
    <w:p w14:paraId="6E5CB6B9" w14:textId="77777777" w:rsidR="00572854" w:rsidRDefault="00572854" w:rsidP="00895D1C">
      <w:pPr>
        <w:spacing w:after="240" w:line="276" w:lineRule="auto"/>
        <w:rPr>
          <w:rFonts w:ascii="Verdana" w:hAnsi="Verdana"/>
        </w:rPr>
      </w:pPr>
    </w:p>
    <w:p w14:paraId="62EC1DEA" w14:textId="77777777" w:rsidR="00572854" w:rsidRDefault="00572854" w:rsidP="00895D1C">
      <w:pPr>
        <w:spacing w:after="240" w:line="276" w:lineRule="auto"/>
        <w:rPr>
          <w:rFonts w:ascii="Verdana" w:hAnsi="Verdana"/>
        </w:rPr>
      </w:pPr>
    </w:p>
    <w:p w14:paraId="57AA7D24" w14:textId="77777777" w:rsidR="00572854" w:rsidRDefault="00572854" w:rsidP="00895D1C">
      <w:pPr>
        <w:spacing w:after="240" w:line="276" w:lineRule="auto"/>
        <w:rPr>
          <w:rFonts w:ascii="Verdana" w:hAnsi="Verdana"/>
        </w:rPr>
      </w:pPr>
    </w:p>
    <w:p w14:paraId="3D0C8505" w14:textId="6685A57D" w:rsidR="00895D1C" w:rsidRPr="009F2248" w:rsidRDefault="00E71066" w:rsidP="00895D1C">
      <w:pPr>
        <w:spacing w:after="240" w:line="276" w:lineRule="auto"/>
        <w:rPr>
          <w:rFonts w:ascii="Verdana" w:eastAsia="Times New Roman" w:hAnsi="Verdana" w:cs="Times New Roman"/>
          <w:b/>
          <w:bCs/>
        </w:rPr>
      </w:pPr>
      <w:proofErr w:type="spellStart"/>
      <w:r w:rsidRPr="00E71066">
        <w:rPr>
          <w:rFonts w:ascii="Verdana" w:eastAsia="Times New Roman" w:hAnsi="Verdana" w:cs="Times New Roman"/>
          <w:b/>
          <w:bCs/>
          <w:sz w:val="28"/>
          <w:szCs w:val="28"/>
        </w:rPr>
        <w:t>Promo</w:t>
      </w:r>
      <w:r>
        <w:rPr>
          <w:rFonts w:ascii="Verdana" w:eastAsia="Times New Roman" w:hAnsi="Verdana" w:cs="Times New Roman"/>
          <w:b/>
          <w:bCs/>
          <w:sz w:val="28"/>
          <w:szCs w:val="28"/>
        </w:rPr>
        <w:t>vent</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el</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compromís</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cívic</w:t>
      </w:r>
      <w:proofErr w:type="spellEnd"/>
      <w:r w:rsidRPr="00E71066">
        <w:rPr>
          <w:rFonts w:ascii="Verdana" w:eastAsia="Times New Roman" w:hAnsi="Verdana" w:cs="Times New Roman"/>
          <w:b/>
          <w:bCs/>
          <w:sz w:val="28"/>
          <w:szCs w:val="28"/>
        </w:rPr>
        <w:t xml:space="preserve">, la </w:t>
      </w:r>
      <w:proofErr w:type="spellStart"/>
      <w:r w:rsidRPr="00E71066">
        <w:rPr>
          <w:rFonts w:ascii="Verdana" w:eastAsia="Times New Roman" w:hAnsi="Verdana" w:cs="Times New Roman"/>
          <w:b/>
          <w:bCs/>
          <w:sz w:val="28"/>
          <w:szCs w:val="28"/>
        </w:rPr>
        <w:t>inclusió</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i</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l'educació</w:t>
      </w:r>
      <w:proofErr w:type="spellEnd"/>
      <w:r w:rsidRPr="00E71066">
        <w:rPr>
          <w:rFonts w:ascii="Verdana" w:eastAsia="Times New Roman" w:hAnsi="Verdana" w:cs="Times New Roman"/>
          <w:b/>
          <w:bCs/>
          <w:sz w:val="28"/>
          <w:szCs w:val="28"/>
        </w:rPr>
        <w:t xml:space="preserve"> de </w:t>
      </w:r>
      <w:proofErr w:type="spellStart"/>
      <w:r w:rsidRPr="00E71066">
        <w:rPr>
          <w:rFonts w:ascii="Verdana" w:eastAsia="Times New Roman" w:hAnsi="Verdana" w:cs="Times New Roman"/>
          <w:b/>
          <w:bCs/>
          <w:sz w:val="28"/>
          <w:szCs w:val="28"/>
        </w:rPr>
        <w:t>qualitat</w:t>
      </w:r>
      <w:proofErr w:type="spellEnd"/>
      <w:r w:rsidRPr="00E71066">
        <w:rPr>
          <w:rFonts w:ascii="Verdana" w:eastAsia="Times New Roman" w:hAnsi="Verdana" w:cs="Times New Roman"/>
          <w:b/>
          <w:bCs/>
          <w:sz w:val="28"/>
          <w:szCs w:val="28"/>
        </w:rPr>
        <w:t xml:space="preserve"> a </w:t>
      </w:r>
      <w:proofErr w:type="spellStart"/>
      <w:r w:rsidRPr="00E71066">
        <w:rPr>
          <w:rFonts w:ascii="Verdana" w:eastAsia="Times New Roman" w:hAnsi="Verdana" w:cs="Times New Roman"/>
          <w:b/>
          <w:bCs/>
          <w:sz w:val="28"/>
          <w:szCs w:val="28"/>
        </w:rPr>
        <w:t>través</w:t>
      </w:r>
      <w:proofErr w:type="spellEnd"/>
      <w:r w:rsidRPr="00E71066">
        <w:rPr>
          <w:rFonts w:ascii="Verdana" w:eastAsia="Times New Roman" w:hAnsi="Verdana" w:cs="Times New Roman"/>
          <w:b/>
          <w:bCs/>
          <w:sz w:val="28"/>
          <w:szCs w:val="28"/>
        </w:rPr>
        <w:t xml:space="preserve"> de la </w:t>
      </w:r>
      <w:proofErr w:type="spellStart"/>
      <w:r w:rsidRPr="00E71066">
        <w:rPr>
          <w:rFonts w:ascii="Verdana" w:eastAsia="Times New Roman" w:hAnsi="Verdana" w:cs="Times New Roman"/>
          <w:b/>
          <w:bCs/>
          <w:sz w:val="28"/>
          <w:szCs w:val="28"/>
        </w:rPr>
        <w:t>Xarxa</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d'Aprenentatge</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Servei</w:t>
      </w:r>
      <w:proofErr w:type="spellEnd"/>
      <w:r w:rsidRPr="00E71066">
        <w:rPr>
          <w:rFonts w:ascii="Verdana" w:eastAsia="Times New Roman" w:hAnsi="Verdana" w:cs="Times New Roman"/>
          <w:b/>
          <w:bCs/>
          <w:sz w:val="28"/>
          <w:szCs w:val="28"/>
        </w:rPr>
        <w:t xml:space="preserve"> </w:t>
      </w:r>
      <w:proofErr w:type="spellStart"/>
      <w:r w:rsidRPr="00E71066">
        <w:rPr>
          <w:rFonts w:ascii="Verdana" w:eastAsia="Times New Roman" w:hAnsi="Verdana" w:cs="Times New Roman"/>
          <w:b/>
          <w:bCs/>
          <w:sz w:val="28"/>
          <w:szCs w:val="28"/>
        </w:rPr>
        <w:t>d'Europa</w:t>
      </w:r>
      <w:proofErr w:type="spellEnd"/>
      <w:r w:rsidRPr="00E71066">
        <w:rPr>
          <w:rFonts w:ascii="Verdana" w:eastAsia="Times New Roman" w:hAnsi="Verdana" w:cs="Times New Roman"/>
          <w:b/>
          <w:bCs/>
          <w:sz w:val="28"/>
          <w:szCs w:val="28"/>
        </w:rPr>
        <w:t xml:space="preserve"> Central </w:t>
      </w:r>
      <w:proofErr w:type="spellStart"/>
      <w:r w:rsidRPr="00E71066">
        <w:rPr>
          <w:rFonts w:ascii="Verdana" w:eastAsia="Times New Roman" w:hAnsi="Verdana" w:cs="Times New Roman"/>
          <w:b/>
          <w:bCs/>
          <w:sz w:val="28"/>
          <w:szCs w:val="28"/>
        </w:rPr>
        <w:t>i</w:t>
      </w:r>
      <w:proofErr w:type="spellEnd"/>
      <w:r w:rsidRPr="00E71066">
        <w:rPr>
          <w:rFonts w:ascii="Verdana" w:eastAsia="Times New Roman" w:hAnsi="Verdana" w:cs="Times New Roman"/>
          <w:b/>
          <w:bCs/>
          <w:sz w:val="28"/>
          <w:szCs w:val="28"/>
        </w:rPr>
        <w:t xml:space="preserve"> del Sud-</w:t>
      </w:r>
      <w:proofErr w:type="spellStart"/>
      <w:r w:rsidRPr="00E71066">
        <w:rPr>
          <w:rFonts w:ascii="Verdana" w:eastAsia="Times New Roman" w:hAnsi="Verdana" w:cs="Times New Roman"/>
          <w:b/>
          <w:bCs/>
          <w:sz w:val="28"/>
          <w:szCs w:val="28"/>
        </w:rPr>
        <w:t>est</w:t>
      </w:r>
      <w:proofErr w:type="spellEnd"/>
      <w:r w:rsidRPr="00E71066">
        <w:rPr>
          <w:rFonts w:ascii="Verdana" w:eastAsia="Times New Roman" w:hAnsi="Verdana" w:cs="Times New Roman"/>
          <w:b/>
          <w:bCs/>
          <w:sz w:val="28"/>
          <w:szCs w:val="28"/>
          <w:highlight w:val="yellow"/>
        </w:rPr>
        <w:t xml:space="preserve"> </w:t>
      </w:r>
    </w:p>
    <w:p w14:paraId="5D4D7F95" w14:textId="77777777" w:rsidR="00E47DF3" w:rsidRPr="00895D1C" w:rsidRDefault="00E47DF3" w:rsidP="0FC6D2D6">
      <w:pPr>
        <w:spacing w:after="240" w:line="276" w:lineRule="auto"/>
        <w:jc w:val="both"/>
        <w:rPr>
          <w:rFonts w:ascii="Verdana" w:eastAsia="Times New Roman" w:hAnsi="Verdana" w:cs="Times New Roman"/>
          <w:b/>
          <w:bCs/>
          <w:sz w:val="24"/>
          <w:szCs w:val="24"/>
        </w:rPr>
      </w:pPr>
      <w:proofErr w:type="spellStart"/>
      <w:r w:rsidRPr="00895D1C">
        <w:rPr>
          <w:rFonts w:ascii="Verdana" w:eastAsia="Times New Roman" w:hAnsi="Verdana" w:cs="Times New Roman"/>
          <w:b/>
          <w:bCs/>
          <w:sz w:val="24"/>
          <w:szCs w:val="24"/>
        </w:rPr>
        <w:t>Resum</w:t>
      </w:r>
      <w:proofErr w:type="spellEnd"/>
    </w:p>
    <w:p w14:paraId="688B6E53" w14:textId="36F361D8" w:rsidR="00895D1C" w:rsidRPr="00895D1C" w:rsidRDefault="00E71066" w:rsidP="00895D1C">
      <w:pPr>
        <w:spacing w:after="240" w:line="276" w:lineRule="auto"/>
        <w:jc w:val="both"/>
        <w:rPr>
          <w:rFonts w:ascii="Verdana" w:eastAsia="Times New Roman" w:hAnsi="Verdana" w:cs="Times New Roman"/>
          <w:highlight w:val="yellow"/>
        </w:rPr>
      </w:pPr>
      <w:r w:rsidRPr="00E71066">
        <w:rPr>
          <w:rFonts w:ascii="Verdana" w:eastAsia="Times New Roman" w:hAnsi="Verdana" w:cs="Times New Roman"/>
        </w:rPr>
        <w:t xml:space="preserve">Aquest </w:t>
      </w:r>
      <w:proofErr w:type="spellStart"/>
      <w:r w:rsidRPr="00E71066">
        <w:rPr>
          <w:rFonts w:ascii="Verdana" w:eastAsia="Times New Roman" w:hAnsi="Verdana" w:cs="Times New Roman"/>
        </w:rPr>
        <w:t>estudi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proporciona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una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anàlisi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profunditat</w:t>
      </w:r>
      <w:proofErr w:type="spellEnd"/>
      <w:r w:rsidRPr="00E71066">
        <w:rPr>
          <w:rFonts w:ascii="Verdana" w:eastAsia="Times New Roman" w:hAnsi="Verdana" w:cs="Times New Roman"/>
        </w:rPr>
        <w:t xml:space="preserve"> de les </w:t>
      </w:r>
      <w:proofErr w:type="spellStart"/>
      <w:r w:rsidRPr="00E71066">
        <w:rPr>
          <w:rFonts w:ascii="Verdana" w:eastAsia="Times New Roman" w:hAnsi="Verdana" w:cs="Times New Roman"/>
        </w:rPr>
        <w:t>especificitats</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creació</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xarxes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d'actors</w:t>
      </w:r>
      <w:proofErr w:type="spellEnd"/>
      <w:r w:rsidRPr="00E71066">
        <w:rPr>
          <w:rFonts w:ascii="Verdana" w:eastAsia="Times New Roman" w:hAnsi="Verdana" w:cs="Times New Roman"/>
        </w:rPr>
        <w:t xml:space="preserve"> dins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d'Europa</w:t>
      </w:r>
      <w:proofErr w:type="spellEnd"/>
      <w:r w:rsidRPr="00E71066">
        <w:rPr>
          <w:rFonts w:ascii="Verdana" w:eastAsia="Times New Roman" w:hAnsi="Verdana" w:cs="Times New Roman"/>
        </w:rPr>
        <w:t xml:space="preserve"> Central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del Sud-est. </w:t>
      </w:r>
      <w:proofErr w:type="spellStart"/>
      <w:r w:rsidRPr="00E71066">
        <w:rPr>
          <w:rFonts w:ascii="Verdana" w:eastAsia="Times New Roman" w:hAnsi="Verdana" w:cs="Times New Roman"/>
        </w:rPr>
        <w:t>Presenta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context que </w:t>
      </w:r>
      <w:proofErr w:type="spellStart"/>
      <w:r w:rsidRPr="00E71066">
        <w:rPr>
          <w:rFonts w:ascii="Verdana" w:eastAsia="Times New Roman" w:hAnsi="Verdana" w:cs="Times New Roman"/>
        </w:rPr>
        <w:t>va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provocar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l'aparició</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a la </w:t>
      </w:r>
      <w:proofErr w:type="spellStart"/>
      <w:r w:rsidRPr="00E71066">
        <w:rPr>
          <w:rFonts w:ascii="Verdana" w:eastAsia="Times New Roman" w:hAnsi="Verdana" w:cs="Times New Roman"/>
        </w:rPr>
        <w:t>regió</w:t>
      </w:r>
      <w:proofErr w:type="spellEnd"/>
      <w:r w:rsidRPr="00E71066">
        <w:rPr>
          <w:rFonts w:ascii="Verdana" w:eastAsia="Times New Roman" w:hAnsi="Verdana" w:cs="Times New Roman"/>
        </w:rPr>
        <w:t xml:space="preserve">. </w:t>
      </w:r>
      <w:r>
        <w:rPr>
          <w:rFonts w:ascii="Verdana" w:eastAsia="Times New Roman" w:hAnsi="Verdana" w:cs="Times New Roman"/>
        </w:rPr>
        <w:t>E</w:t>
      </w:r>
      <w:r w:rsidRPr="00E71066">
        <w:rPr>
          <w:rFonts w:ascii="Verdana" w:eastAsia="Times New Roman" w:hAnsi="Verdana" w:cs="Times New Roman"/>
        </w:rPr>
        <w:t xml:space="preserve">l document </w:t>
      </w:r>
      <w:proofErr w:type="spellStart"/>
      <w:r w:rsidRPr="00E71066">
        <w:rPr>
          <w:rFonts w:ascii="Verdana" w:eastAsia="Times New Roman" w:hAnsi="Verdana" w:cs="Times New Roman"/>
        </w:rPr>
        <w:t>aprofundeix</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les </w:t>
      </w:r>
      <w:proofErr w:type="spellStart"/>
      <w:r w:rsidRPr="00E71066">
        <w:rPr>
          <w:rFonts w:ascii="Verdana" w:eastAsia="Times New Roman" w:hAnsi="Verdana" w:cs="Times New Roman"/>
        </w:rPr>
        <w:t>activitats</w:t>
      </w:r>
      <w:proofErr w:type="spellEnd"/>
      <w:r w:rsidRPr="00E71066">
        <w:rPr>
          <w:rFonts w:ascii="Verdana" w:eastAsia="Times New Roman" w:hAnsi="Verdana" w:cs="Times New Roman"/>
        </w:rPr>
        <w:t xml:space="preserve"> principals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destacant</w:t>
      </w:r>
      <w:proofErr w:type="spellEnd"/>
      <w:r w:rsidRPr="00E71066">
        <w:rPr>
          <w:rFonts w:ascii="Verdana" w:eastAsia="Times New Roman" w:hAnsi="Verdana" w:cs="Times New Roman"/>
        </w:rPr>
        <w:t xml:space="preserve"> com les </w:t>
      </w:r>
      <w:proofErr w:type="spellStart"/>
      <w:r w:rsidRPr="00E71066">
        <w:rPr>
          <w:rFonts w:ascii="Verdana" w:eastAsia="Times New Roman" w:hAnsi="Verdana" w:cs="Times New Roman"/>
        </w:rPr>
        <w:t>seves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iniciatives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col·laboració</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han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facilitat</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l'intercanvi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transfronterer</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coneixement</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programes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formació</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l'establiment</w:t>
      </w:r>
      <w:proofErr w:type="spellEnd"/>
      <w:r w:rsidRPr="00E71066">
        <w:rPr>
          <w:rFonts w:ascii="Verdana" w:eastAsia="Times New Roman" w:hAnsi="Verdana" w:cs="Times New Roman"/>
        </w:rPr>
        <w:t xml:space="preserve"> d'un Premi Regional </w:t>
      </w:r>
      <w:proofErr w:type="spellStart"/>
      <w:r w:rsidRPr="00E71066">
        <w:rPr>
          <w:rFonts w:ascii="Verdana" w:eastAsia="Times New Roman" w:hAnsi="Verdana" w:cs="Times New Roman"/>
        </w:rPr>
        <w:t>d'Aprenentatge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defensa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dels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canvis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polítiques</w:t>
      </w:r>
      <w:proofErr w:type="spellEnd"/>
      <w:r w:rsidRPr="00E71066">
        <w:rPr>
          <w:rFonts w:ascii="Verdana" w:eastAsia="Times New Roman" w:hAnsi="Verdana" w:cs="Times New Roman"/>
        </w:rPr>
        <w:t xml:space="preserve"> per </w:t>
      </w:r>
      <w:proofErr w:type="spellStart"/>
      <w:r w:rsidRPr="00E71066">
        <w:rPr>
          <w:rFonts w:ascii="Verdana" w:eastAsia="Times New Roman" w:hAnsi="Verdana" w:cs="Times New Roman"/>
        </w:rPr>
        <w:t>institucionalitzar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a tot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Pr>
          <w:rFonts w:ascii="Verdana" w:eastAsia="Times New Roman" w:hAnsi="Verdana" w:cs="Times New Roman"/>
        </w:rPr>
        <w:t>c</w:t>
      </w:r>
      <w:r w:rsidRPr="00E71066">
        <w:rPr>
          <w:rFonts w:ascii="Verdana" w:eastAsia="Times New Roman" w:hAnsi="Verdana" w:cs="Times New Roman"/>
        </w:rPr>
        <w:t>entre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w:t>
      </w:r>
      <w:r>
        <w:rPr>
          <w:rFonts w:ascii="Verdana" w:eastAsia="Times New Roman" w:hAnsi="Verdana" w:cs="Times New Roman"/>
        </w:rPr>
        <w:t>e</w:t>
      </w:r>
      <w:r w:rsidRPr="00E71066">
        <w:rPr>
          <w:rFonts w:ascii="Verdana" w:eastAsia="Times New Roman" w:hAnsi="Verdana" w:cs="Times New Roman"/>
        </w:rPr>
        <w:t>st</w:t>
      </w:r>
      <w:proofErr w:type="spellEnd"/>
      <w:r>
        <w:rPr>
          <w:rFonts w:ascii="Verdana" w:eastAsia="Times New Roman" w:hAnsi="Verdana" w:cs="Times New Roman"/>
        </w:rPr>
        <w:t xml:space="preserve"> </w:t>
      </w:r>
      <w:proofErr w:type="spellStart"/>
      <w:r>
        <w:rPr>
          <w:rFonts w:ascii="Verdana" w:eastAsia="Times New Roman" w:hAnsi="Verdana" w:cs="Times New Roman"/>
        </w:rPr>
        <w:t>d’</w:t>
      </w:r>
      <w:r w:rsidRPr="00E71066">
        <w:rPr>
          <w:rFonts w:ascii="Verdana" w:eastAsia="Times New Roman" w:hAnsi="Verdana" w:cs="Times New Roman"/>
        </w:rPr>
        <w:t>Europa</w:t>
      </w:r>
      <w:proofErr w:type="spellEnd"/>
      <w:r w:rsidRPr="00E71066">
        <w:rPr>
          <w:rFonts w:ascii="Verdana" w:eastAsia="Times New Roman" w:hAnsi="Verdana" w:cs="Times New Roman"/>
        </w:rPr>
        <w:t xml:space="preserve">. </w:t>
      </w:r>
      <w:proofErr w:type="spellStart"/>
      <w:r>
        <w:rPr>
          <w:rFonts w:ascii="Verdana" w:eastAsia="Times New Roman" w:hAnsi="Verdana" w:cs="Times New Roman"/>
        </w:rPr>
        <w:t>També</w:t>
      </w:r>
      <w:proofErr w:type="spellEnd"/>
      <w:r>
        <w:rPr>
          <w:rFonts w:ascii="Verdana" w:eastAsia="Times New Roman" w:hAnsi="Verdana" w:cs="Times New Roman"/>
        </w:rPr>
        <w:t xml:space="preserve"> </w:t>
      </w:r>
      <w:proofErr w:type="spellStart"/>
      <w:r>
        <w:rPr>
          <w:rFonts w:ascii="Verdana" w:eastAsia="Times New Roman" w:hAnsi="Verdana" w:cs="Times New Roman"/>
        </w:rPr>
        <w:t>s’inclou</w:t>
      </w:r>
      <w:proofErr w:type="spellEnd"/>
      <w:r>
        <w:rPr>
          <w:rFonts w:ascii="Verdana" w:eastAsia="Times New Roman" w:hAnsi="Verdana" w:cs="Times New Roman"/>
        </w:rPr>
        <w:t xml:space="preserve"> </w:t>
      </w:r>
      <w:proofErr w:type="spellStart"/>
      <w:r>
        <w:rPr>
          <w:rFonts w:ascii="Verdana" w:eastAsia="Times New Roman" w:hAnsi="Verdana" w:cs="Times New Roman"/>
        </w:rPr>
        <w:t>u</w:t>
      </w:r>
      <w:r w:rsidRPr="00E71066">
        <w:rPr>
          <w:rFonts w:ascii="Verdana" w:eastAsia="Times New Roman" w:hAnsi="Verdana" w:cs="Times New Roman"/>
        </w:rPr>
        <w:t>na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secció</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dedicada</w:t>
      </w:r>
      <w:proofErr w:type="spellEnd"/>
      <w:r w:rsidRPr="00E71066">
        <w:rPr>
          <w:rFonts w:ascii="Verdana" w:eastAsia="Times New Roman" w:hAnsi="Verdana" w:cs="Times New Roman"/>
        </w:rPr>
        <w:t xml:space="preserve"> </w:t>
      </w:r>
      <w:proofErr w:type="gramStart"/>
      <w:r w:rsidRPr="00E71066">
        <w:rPr>
          <w:rFonts w:ascii="Verdana" w:eastAsia="Times New Roman" w:hAnsi="Verdana" w:cs="Times New Roman"/>
        </w:rPr>
        <w:t>a</w:t>
      </w:r>
      <w:proofErr w:type="gramEnd"/>
      <w:r w:rsidRPr="00E71066">
        <w:rPr>
          <w:rFonts w:ascii="Verdana" w:eastAsia="Times New Roman" w:hAnsi="Verdana" w:cs="Times New Roman"/>
        </w:rPr>
        <w:t xml:space="preserve"> </w:t>
      </w:r>
      <w:proofErr w:type="spellStart"/>
      <w:r w:rsidRPr="00E71066">
        <w:rPr>
          <w:rFonts w:ascii="Verdana" w:eastAsia="Times New Roman" w:hAnsi="Verdana" w:cs="Times New Roman"/>
        </w:rPr>
        <w:t>avaluar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l'impacte</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les </w:t>
      </w:r>
      <w:proofErr w:type="spellStart"/>
      <w:r w:rsidRPr="00E71066">
        <w:rPr>
          <w:rFonts w:ascii="Verdana" w:eastAsia="Times New Roman" w:hAnsi="Verdana" w:cs="Times New Roman"/>
        </w:rPr>
        <w:t>organitzacions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membres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l'avenç</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més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ampli</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pedagogia</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l'aprenentatge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a la </w:t>
      </w:r>
      <w:proofErr w:type="spellStart"/>
      <w:r w:rsidRPr="00E71066">
        <w:rPr>
          <w:rFonts w:ascii="Verdana" w:eastAsia="Times New Roman" w:hAnsi="Verdana" w:cs="Times New Roman"/>
        </w:rPr>
        <w:t>regió</w:t>
      </w:r>
      <w:proofErr w:type="spellEnd"/>
      <w:r w:rsidRPr="00E71066">
        <w:rPr>
          <w:rFonts w:ascii="Verdana" w:eastAsia="Times New Roman" w:hAnsi="Verdana" w:cs="Times New Roman"/>
        </w:rPr>
        <w:t xml:space="preserve">. </w:t>
      </w:r>
      <w:r>
        <w:rPr>
          <w:rFonts w:ascii="Verdana" w:eastAsia="Times New Roman" w:hAnsi="Verdana" w:cs="Times New Roman"/>
        </w:rPr>
        <w:t>Es fa</w:t>
      </w:r>
      <w:r w:rsidRPr="00E71066">
        <w:rPr>
          <w:rFonts w:ascii="Verdana" w:eastAsia="Times New Roman" w:hAnsi="Verdana" w:cs="Times New Roman"/>
        </w:rPr>
        <w:t xml:space="preserve"> un examen </w:t>
      </w:r>
      <w:proofErr w:type="spellStart"/>
      <w:r w:rsidRPr="00E71066">
        <w:rPr>
          <w:rFonts w:ascii="Verdana" w:eastAsia="Times New Roman" w:hAnsi="Verdana" w:cs="Times New Roman"/>
        </w:rPr>
        <w:t>dels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beneficis</w:t>
      </w:r>
      <w:proofErr w:type="spellEnd"/>
      <w:r w:rsidRPr="00E71066">
        <w:rPr>
          <w:rFonts w:ascii="Verdana" w:eastAsia="Times New Roman" w:hAnsi="Verdana" w:cs="Times New Roman"/>
        </w:rPr>
        <w:t xml:space="preserve"> que </w:t>
      </w:r>
      <w:proofErr w:type="spellStart"/>
      <w:r w:rsidRPr="00E71066">
        <w:rPr>
          <w:rFonts w:ascii="Verdana" w:eastAsia="Times New Roman" w:hAnsi="Verdana" w:cs="Times New Roman"/>
        </w:rPr>
        <w:t>han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experimentat</w:t>
      </w:r>
      <w:proofErr w:type="spellEnd"/>
      <w:r w:rsidRPr="00E71066">
        <w:rPr>
          <w:rFonts w:ascii="Verdana" w:eastAsia="Times New Roman" w:hAnsi="Verdana" w:cs="Times New Roman"/>
        </w:rPr>
        <w:t xml:space="preserve"> les </w:t>
      </w:r>
      <w:proofErr w:type="spellStart"/>
      <w:r w:rsidRPr="00E71066">
        <w:rPr>
          <w:rFonts w:ascii="Verdana" w:eastAsia="Times New Roman" w:hAnsi="Verdana" w:cs="Times New Roman"/>
        </w:rPr>
        <w:t>organitzacions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formar</w:t>
      </w:r>
      <w:proofErr w:type="spellEnd"/>
      <w:r w:rsidRPr="00E71066">
        <w:rPr>
          <w:rFonts w:ascii="Verdana" w:eastAsia="Times New Roman" w:hAnsi="Verdana" w:cs="Times New Roman"/>
        </w:rPr>
        <w:t xml:space="preserve"> part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així</w:t>
      </w:r>
      <w:proofErr w:type="spellEnd"/>
      <w:r w:rsidRPr="00E71066">
        <w:rPr>
          <w:rFonts w:ascii="Verdana" w:eastAsia="Times New Roman" w:hAnsi="Verdana" w:cs="Times New Roman"/>
        </w:rPr>
        <w:t xml:space="preserve"> com la </w:t>
      </w:r>
      <w:proofErr w:type="spellStart"/>
      <w:r w:rsidRPr="00E71066">
        <w:rPr>
          <w:rFonts w:ascii="Verdana" w:eastAsia="Times New Roman" w:hAnsi="Verdana" w:cs="Times New Roman"/>
        </w:rPr>
        <w:t>contribució</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al </w:t>
      </w:r>
      <w:proofErr w:type="spellStart"/>
      <w:r w:rsidRPr="00E71066">
        <w:rPr>
          <w:rFonts w:ascii="Verdana" w:eastAsia="Times New Roman" w:hAnsi="Verdana" w:cs="Times New Roman"/>
        </w:rPr>
        <w:t>creixement</w:t>
      </w:r>
      <w:proofErr w:type="spellEnd"/>
      <w:r w:rsidRPr="00E71066">
        <w:rPr>
          <w:rFonts w:ascii="Verdana" w:eastAsia="Times New Roman" w:hAnsi="Verdana" w:cs="Times New Roman"/>
        </w:rPr>
        <w:t xml:space="preserve"> i la </w:t>
      </w:r>
      <w:proofErr w:type="spellStart"/>
      <w:r w:rsidRPr="00E71066">
        <w:rPr>
          <w:rFonts w:ascii="Verdana" w:eastAsia="Times New Roman" w:hAnsi="Verdana" w:cs="Times New Roman"/>
        </w:rPr>
        <w:t>sostenibilitat</w:t>
      </w:r>
      <w:proofErr w:type="spellEnd"/>
      <w:r w:rsidRPr="00E71066">
        <w:rPr>
          <w:rFonts w:ascii="Verdana" w:eastAsia="Times New Roman" w:hAnsi="Verdana" w:cs="Times New Roman"/>
        </w:rPr>
        <w:t xml:space="preserve"> de les </w:t>
      </w:r>
      <w:proofErr w:type="spellStart"/>
      <w:r w:rsidRPr="00E71066">
        <w:rPr>
          <w:rFonts w:ascii="Verdana" w:eastAsia="Times New Roman" w:hAnsi="Verdana" w:cs="Times New Roman"/>
        </w:rPr>
        <w:t>iniciatives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Finalment</w:t>
      </w:r>
      <w:proofErr w:type="spellEnd"/>
      <w:r w:rsidRPr="00E71066">
        <w:rPr>
          <w:rFonts w:ascii="Verdana" w:eastAsia="Times New Roman" w:hAnsi="Verdana" w:cs="Times New Roman"/>
        </w:rPr>
        <w:t xml:space="preserve">, </w:t>
      </w:r>
      <w:r>
        <w:rPr>
          <w:rFonts w:ascii="Verdana" w:eastAsia="Times New Roman" w:hAnsi="Verdana" w:cs="Times New Roman"/>
        </w:rPr>
        <w:t>es</w:t>
      </w:r>
      <w:r w:rsidRPr="00E71066">
        <w:rPr>
          <w:rFonts w:ascii="Verdana" w:eastAsia="Times New Roman" w:hAnsi="Verdana" w:cs="Times New Roman"/>
        </w:rPr>
        <w:t xml:space="preserve"> </w:t>
      </w:r>
      <w:proofErr w:type="spellStart"/>
      <w:r w:rsidRPr="00E71066">
        <w:rPr>
          <w:rFonts w:ascii="Verdana" w:eastAsia="Times New Roman" w:hAnsi="Verdana" w:cs="Times New Roman"/>
        </w:rPr>
        <w:t>reflexiona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sobre</w:t>
      </w:r>
      <w:proofErr w:type="spellEnd"/>
      <w:r w:rsidRPr="00E71066">
        <w:rPr>
          <w:rFonts w:ascii="Verdana" w:eastAsia="Times New Roman" w:hAnsi="Verdana" w:cs="Times New Roman"/>
        </w:rPr>
        <w:t xml:space="preserve"> les perspectives de la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explorant</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estratègies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oportunitats</w:t>
      </w:r>
      <w:proofErr w:type="spellEnd"/>
      <w:r w:rsidRPr="00E71066">
        <w:rPr>
          <w:rFonts w:ascii="Verdana" w:eastAsia="Times New Roman" w:hAnsi="Verdana" w:cs="Times New Roman"/>
        </w:rPr>
        <w:t xml:space="preserve"> per </w:t>
      </w:r>
      <w:proofErr w:type="spellStart"/>
      <w:r w:rsidRPr="00E71066">
        <w:rPr>
          <w:rFonts w:ascii="Verdana" w:eastAsia="Times New Roman" w:hAnsi="Verdana" w:cs="Times New Roman"/>
        </w:rPr>
        <w:t>reforçar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encara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més</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col·laboració</w:t>
      </w:r>
      <w:proofErr w:type="spellEnd"/>
      <w:r w:rsidRPr="00E71066">
        <w:rPr>
          <w:rFonts w:ascii="Verdana" w:eastAsia="Times New Roman" w:hAnsi="Verdana" w:cs="Times New Roman"/>
        </w:rPr>
        <w:t xml:space="preserve"> regional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destacant</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beneficis</w:t>
      </w:r>
      <w:proofErr w:type="spellEnd"/>
      <w:r w:rsidRPr="00E71066">
        <w:rPr>
          <w:rFonts w:ascii="Verdana" w:eastAsia="Times New Roman" w:hAnsi="Verdana" w:cs="Times New Roman"/>
        </w:rPr>
        <w:t xml:space="preserve"> a </w:t>
      </w:r>
      <w:proofErr w:type="spellStart"/>
      <w:r w:rsidRPr="00E71066">
        <w:rPr>
          <w:rFonts w:ascii="Verdana" w:eastAsia="Times New Roman" w:hAnsi="Verdana" w:cs="Times New Roman"/>
        </w:rPr>
        <w:t>llarg</w:t>
      </w:r>
      <w:proofErr w:type="spellEnd"/>
      <w:r w:rsidRPr="00E71066">
        <w:rPr>
          <w:rFonts w:ascii="Verdana" w:eastAsia="Times New Roman" w:hAnsi="Verdana" w:cs="Times New Roman"/>
        </w:rPr>
        <w:t xml:space="preserve"> termini del </w:t>
      </w:r>
      <w:proofErr w:type="spellStart"/>
      <w:r w:rsidRPr="00E71066">
        <w:rPr>
          <w:rFonts w:ascii="Verdana" w:eastAsia="Times New Roman" w:hAnsi="Verdana" w:cs="Times New Roman"/>
        </w:rPr>
        <w:t>treball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xarxa</w:t>
      </w:r>
      <w:proofErr w:type="spellEnd"/>
      <w:r w:rsidRPr="00E71066">
        <w:rPr>
          <w:rFonts w:ascii="Verdana" w:eastAsia="Times New Roman" w:hAnsi="Verdana" w:cs="Times New Roman"/>
        </w:rPr>
        <w:t xml:space="preserve"> per </w:t>
      </w:r>
      <w:proofErr w:type="spellStart"/>
      <w:r w:rsidRPr="00E71066">
        <w:rPr>
          <w:rFonts w:ascii="Verdana" w:eastAsia="Times New Roman" w:hAnsi="Verdana" w:cs="Times New Roman"/>
        </w:rPr>
        <w:t>promoure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l'aprenentatge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servei</w:t>
      </w:r>
      <w:proofErr w:type="spellEnd"/>
      <w:r w:rsidRPr="00E71066">
        <w:rPr>
          <w:rFonts w:ascii="Verdana" w:eastAsia="Times New Roman" w:hAnsi="Verdana" w:cs="Times New Roman"/>
        </w:rPr>
        <w:t xml:space="preserve"> a </w:t>
      </w:r>
      <w:proofErr w:type="spellStart"/>
      <w:r w:rsidRPr="00E71066">
        <w:rPr>
          <w:rFonts w:ascii="Verdana" w:eastAsia="Times New Roman" w:hAnsi="Verdana" w:cs="Times New Roman"/>
        </w:rPr>
        <w:t>l'Europa</w:t>
      </w:r>
      <w:proofErr w:type="spellEnd"/>
      <w:r w:rsidRPr="00E71066">
        <w:rPr>
          <w:rFonts w:ascii="Verdana" w:eastAsia="Times New Roman" w:hAnsi="Verdana" w:cs="Times New Roman"/>
        </w:rPr>
        <w:t xml:space="preserve"> central </w:t>
      </w:r>
      <w:proofErr w:type="spellStart"/>
      <w:r w:rsidRPr="00E71066">
        <w:rPr>
          <w:rFonts w:ascii="Verdana" w:eastAsia="Times New Roman" w:hAnsi="Verdana" w:cs="Times New Roman"/>
        </w:rPr>
        <w:t>i</w:t>
      </w:r>
      <w:proofErr w:type="spellEnd"/>
      <w:r w:rsidRPr="00E71066">
        <w:rPr>
          <w:rFonts w:ascii="Verdana" w:eastAsia="Times New Roman" w:hAnsi="Verdana" w:cs="Times New Roman"/>
        </w:rPr>
        <w:t xml:space="preserve"> oriental.</w:t>
      </w:r>
      <w:r w:rsidR="00895D1C" w:rsidRPr="00895D1C">
        <w:rPr>
          <w:rFonts w:ascii="Verdana" w:eastAsia="Times New Roman" w:hAnsi="Verdana" w:cs="Times New Roman"/>
          <w:highlight w:val="yellow"/>
        </w:rPr>
        <w:t xml:space="preserve"> </w:t>
      </w:r>
    </w:p>
    <w:p w14:paraId="6D425DB9" w14:textId="75B33C59" w:rsidR="00E47DF3" w:rsidRPr="00895D1C" w:rsidRDefault="00E47DF3" w:rsidP="0FC6D2D6">
      <w:pPr>
        <w:spacing w:after="240" w:line="276" w:lineRule="auto"/>
        <w:jc w:val="both"/>
        <w:rPr>
          <w:rFonts w:ascii="Verdana" w:eastAsia="Times New Roman" w:hAnsi="Verdana" w:cs="Times New Roman"/>
        </w:rPr>
      </w:pPr>
      <w:proofErr w:type="spellStart"/>
      <w:r w:rsidRPr="00895D1C">
        <w:rPr>
          <w:rFonts w:ascii="Verdana" w:eastAsia="Times New Roman" w:hAnsi="Verdana" w:cs="Times New Roman"/>
          <w:b/>
          <w:bCs/>
          <w:sz w:val="24"/>
          <w:szCs w:val="24"/>
        </w:rPr>
        <w:t>Paraules</w:t>
      </w:r>
      <w:proofErr w:type="spellEnd"/>
      <w:r w:rsidRPr="00895D1C">
        <w:rPr>
          <w:rFonts w:ascii="Verdana" w:eastAsia="Times New Roman" w:hAnsi="Verdana" w:cs="Times New Roman"/>
          <w:b/>
          <w:bCs/>
          <w:sz w:val="24"/>
          <w:szCs w:val="24"/>
        </w:rPr>
        <w:t xml:space="preserve"> </w:t>
      </w:r>
      <w:proofErr w:type="spellStart"/>
      <w:r w:rsidRPr="00895D1C">
        <w:rPr>
          <w:rFonts w:ascii="Verdana" w:eastAsia="Times New Roman" w:hAnsi="Verdana" w:cs="Times New Roman"/>
          <w:b/>
          <w:bCs/>
          <w:sz w:val="24"/>
          <w:szCs w:val="24"/>
        </w:rPr>
        <w:t>clau</w:t>
      </w:r>
      <w:proofErr w:type="spellEnd"/>
      <w:r w:rsidRPr="00895D1C">
        <w:rPr>
          <w:rFonts w:ascii="Verdana" w:eastAsia="Times New Roman" w:hAnsi="Verdana" w:cs="Times New Roman"/>
          <w:b/>
          <w:bCs/>
        </w:rPr>
        <w:t xml:space="preserve">: </w:t>
      </w:r>
      <w:proofErr w:type="spellStart"/>
      <w:r w:rsidRPr="00895D1C">
        <w:rPr>
          <w:rFonts w:ascii="Verdana" w:eastAsia="Times New Roman" w:hAnsi="Verdana" w:cs="Times New Roman"/>
        </w:rPr>
        <w:t>aprenentatge</w:t>
      </w:r>
      <w:proofErr w:type="spellEnd"/>
      <w:r w:rsidRPr="00895D1C">
        <w:rPr>
          <w:rFonts w:ascii="Verdana" w:eastAsia="Times New Roman" w:hAnsi="Verdana" w:cs="Times New Roman"/>
        </w:rPr>
        <w:t xml:space="preserve"> </w:t>
      </w:r>
      <w:proofErr w:type="spellStart"/>
      <w:r w:rsidRPr="00895D1C">
        <w:rPr>
          <w:rFonts w:ascii="Verdana" w:eastAsia="Times New Roman" w:hAnsi="Verdana" w:cs="Times New Roman"/>
        </w:rPr>
        <w:t>servei</w:t>
      </w:r>
      <w:proofErr w:type="spellEnd"/>
      <w:r w:rsidRPr="00895D1C">
        <w:rPr>
          <w:rFonts w:ascii="Verdana" w:eastAsia="Times New Roman" w:hAnsi="Verdana" w:cs="Times New Roman"/>
        </w:rPr>
        <w:t xml:space="preserve">, </w:t>
      </w:r>
      <w:proofErr w:type="spellStart"/>
      <w:r w:rsidR="00895D1C">
        <w:rPr>
          <w:rFonts w:ascii="Verdana" w:eastAsia="Times New Roman" w:hAnsi="Verdana" w:cs="Times New Roman"/>
        </w:rPr>
        <w:t>xarxa</w:t>
      </w:r>
      <w:proofErr w:type="spellEnd"/>
      <w:r w:rsidR="00895D1C">
        <w:rPr>
          <w:rFonts w:ascii="Verdana" w:eastAsia="Times New Roman" w:hAnsi="Verdana" w:cs="Times New Roman"/>
        </w:rPr>
        <w:t xml:space="preserve">, Europa central </w:t>
      </w:r>
      <w:proofErr w:type="spellStart"/>
      <w:r w:rsidR="00895D1C">
        <w:rPr>
          <w:rFonts w:ascii="Verdana" w:eastAsia="Times New Roman" w:hAnsi="Verdana" w:cs="Times New Roman"/>
        </w:rPr>
        <w:t>i</w:t>
      </w:r>
      <w:proofErr w:type="spellEnd"/>
      <w:r w:rsidR="00895D1C">
        <w:rPr>
          <w:rFonts w:ascii="Verdana" w:eastAsia="Times New Roman" w:hAnsi="Verdana" w:cs="Times New Roman"/>
        </w:rPr>
        <w:t xml:space="preserve"> de </w:t>
      </w:r>
      <w:proofErr w:type="spellStart"/>
      <w:r w:rsidR="00895D1C">
        <w:rPr>
          <w:rFonts w:ascii="Verdana" w:eastAsia="Times New Roman" w:hAnsi="Verdana" w:cs="Times New Roman"/>
        </w:rPr>
        <w:t>l’est</w:t>
      </w:r>
      <w:proofErr w:type="spellEnd"/>
      <w:r w:rsidRPr="00895D1C">
        <w:rPr>
          <w:rFonts w:ascii="Verdana" w:eastAsia="Times New Roman" w:hAnsi="Verdana" w:cs="Times New Roman"/>
        </w:rPr>
        <w:t>.</w:t>
      </w:r>
    </w:p>
    <w:p w14:paraId="5A0EFC24" w14:textId="77777777" w:rsidR="00895D1C" w:rsidRPr="009F2248" w:rsidRDefault="00895D1C" w:rsidP="00895D1C">
      <w:pPr>
        <w:spacing w:after="240" w:line="276" w:lineRule="auto"/>
        <w:rPr>
          <w:rFonts w:ascii="Verdana" w:eastAsia="Times New Roman" w:hAnsi="Verdana" w:cs="Times New Roman"/>
          <w:b/>
          <w:bCs/>
        </w:rPr>
      </w:pPr>
      <w:r w:rsidRPr="00C43CFD">
        <w:rPr>
          <w:rFonts w:ascii="Verdana" w:eastAsia="Times New Roman" w:hAnsi="Verdana" w:cs="Times New Roman"/>
          <w:b/>
          <w:bCs/>
          <w:sz w:val="28"/>
          <w:szCs w:val="28"/>
        </w:rPr>
        <w:lastRenderedPageBreak/>
        <w:t>Promoting civic engagement, inclusiveness and quality education through Central and Southeastern European Network for Service-Learning</w:t>
      </w:r>
    </w:p>
    <w:p w14:paraId="7F4688BF" w14:textId="1DB4C167" w:rsidR="009F2248" w:rsidRPr="00895D1C" w:rsidRDefault="009F2248" w:rsidP="0FC6D2D6">
      <w:pPr>
        <w:spacing w:after="240" w:line="276" w:lineRule="auto"/>
        <w:jc w:val="both"/>
        <w:rPr>
          <w:rFonts w:ascii="Verdana" w:eastAsia="Times New Roman" w:hAnsi="Verdana" w:cs="Times New Roman"/>
          <w:b/>
          <w:bCs/>
          <w:sz w:val="24"/>
          <w:szCs w:val="24"/>
        </w:rPr>
      </w:pPr>
      <w:proofErr w:type="spellStart"/>
      <w:r w:rsidRPr="00895D1C">
        <w:rPr>
          <w:rFonts w:ascii="Verdana" w:eastAsia="Times New Roman" w:hAnsi="Verdana" w:cs="Times New Roman"/>
          <w:b/>
          <w:bCs/>
          <w:sz w:val="24"/>
          <w:szCs w:val="24"/>
        </w:rPr>
        <w:t>Resumen</w:t>
      </w:r>
      <w:proofErr w:type="spellEnd"/>
    </w:p>
    <w:p w14:paraId="397D4CA0" w14:textId="7D869978" w:rsidR="00E71066" w:rsidRDefault="00E71066" w:rsidP="009F2248">
      <w:pPr>
        <w:spacing w:after="240" w:line="276" w:lineRule="auto"/>
        <w:jc w:val="both"/>
        <w:rPr>
          <w:rFonts w:ascii="Verdana" w:eastAsia="Times New Roman" w:hAnsi="Verdana" w:cs="Times New Roman"/>
        </w:rPr>
      </w:pPr>
      <w:r w:rsidRPr="00E71066">
        <w:rPr>
          <w:rFonts w:ascii="Verdana" w:eastAsia="Times New Roman" w:hAnsi="Verdana" w:cs="Times New Roman"/>
        </w:rPr>
        <w:t xml:space="preserve">Este </w:t>
      </w:r>
      <w:proofErr w:type="spellStart"/>
      <w:r w:rsidRPr="00E71066">
        <w:rPr>
          <w:rFonts w:ascii="Verdana" w:eastAsia="Times New Roman" w:hAnsi="Verdana" w:cs="Times New Roman"/>
        </w:rPr>
        <w:t>estudio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ofrece</w:t>
      </w:r>
      <w:proofErr w:type="spellEnd"/>
      <w:r w:rsidRPr="00E71066">
        <w:rPr>
          <w:rFonts w:ascii="Verdana" w:eastAsia="Times New Roman" w:hAnsi="Verdana" w:cs="Times New Roman"/>
        </w:rPr>
        <w:t xml:space="preserve"> un </w:t>
      </w:r>
      <w:proofErr w:type="spellStart"/>
      <w:r w:rsidRPr="00E71066">
        <w:rPr>
          <w:rFonts w:ascii="Verdana" w:eastAsia="Times New Roman" w:hAnsi="Verdana" w:cs="Times New Roman"/>
        </w:rPr>
        <w:t>análisis</w:t>
      </w:r>
      <w:proofErr w:type="spellEnd"/>
      <w:r w:rsidRPr="00E71066">
        <w:rPr>
          <w:rFonts w:ascii="Verdana" w:eastAsia="Times New Roman" w:hAnsi="Verdana" w:cs="Times New Roman"/>
        </w:rPr>
        <w:t xml:space="preserve"> profundo de las </w:t>
      </w:r>
      <w:proofErr w:type="spellStart"/>
      <w:r w:rsidRPr="00E71066">
        <w:rPr>
          <w:rFonts w:ascii="Verdana" w:eastAsia="Times New Roman" w:hAnsi="Verdana" w:cs="Times New Roman"/>
        </w:rPr>
        <w:t>particularidades</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creación</w:t>
      </w:r>
      <w:proofErr w:type="spellEnd"/>
      <w:r w:rsidRPr="00E71066">
        <w:rPr>
          <w:rFonts w:ascii="Verdana" w:eastAsia="Times New Roman" w:hAnsi="Verdana" w:cs="Times New Roman"/>
        </w:rPr>
        <w:t xml:space="preserve"> de redes de </w:t>
      </w:r>
      <w:proofErr w:type="spellStart"/>
      <w:r w:rsidRPr="00E71066">
        <w:rPr>
          <w:rFonts w:ascii="Verdana" w:eastAsia="Times New Roman" w:hAnsi="Verdana" w:cs="Times New Roman"/>
        </w:rPr>
        <w:t>actores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marco</w:t>
      </w:r>
      <w:proofErr w:type="spellEnd"/>
      <w:r w:rsidRPr="00E71066">
        <w:rPr>
          <w:rFonts w:ascii="Verdana" w:eastAsia="Times New Roman" w:hAnsi="Verdana" w:cs="Times New Roman"/>
        </w:rPr>
        <w:t xml:space="preserve"> de la Red de Europa Central y </w:t>
      </w:r>
      <w:proofErr w:type="spellStart"/>
      <w:r w:rsidRPr="00E71066">
        <w:rPr>
          <w:rFonts w:ascii="Verdana" w:eastAsia="Times New Roman" w:hAnsi="Verdana" w:cs="Times New Roman"/>
        </w:rPr>
        <w:t>Sudoriental</w:t>
      </w:r>
      <w:proofErr w:type="spellEnd"/>
      <w:r w:rsidRPr="00E71066">
        <w:rPr>
          <w:rFonts w:ascii="Verdana" w:eastAsia="Times New Roman" w:hAnsi="Verdana" w:cs="Times New Roman"/>
        </w:rPr>
        <w:t xml:space="preserve"> para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Presenta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contexto</w:t>
      </w:r>
      <w:proofErr w:type="spellEnd"/>
      <w:r w:rsidRPr="00E71066">
        <w:rPr>
          <w:rFonts w:ascii="Verdana" w:eastAsia="Times New Roman" w:hAnsi="Verdana" w:cs="Times New Roman"/>
        </w:rPr>
        <w:t xml:space="preserve"> que </w:t>
      </w:r>
      <w:proofErr w:type="spellStart"/>
      <w:r w:rsidRPr="00E71066">
        <w:rPr>
          <w:rFonts w:ascii="Verdana" w:eastAsia="Times New Roman" w:hAnsi="Verdana" w:cs="Times New Roman"/>
        </w:rPr>
        <w:t>llevó</w:t>
      </w:r>
      <w:proofErr w:type="spellEnd"/>
      <w:r w:rsidRPr="00E71066">
        <w:rPr>
          <w:rFonts w:ascii="Verdana" w:eastAsia="Times New Roman" w:hAnsi="Verdana" w:cs="Times New Roman"/>
        </w:rPr>
        <w:t xml:space="preserve"> al </w:t>
      </w:r>
      <w:proofErr w:type="spellStart"/>
      <w:r w:rsidRPr="00E71066">
        <w:rPr>
          <w:rFonts w:ascii="Verdana" w:eastAsia="Times New Roman" w:hAnsi="Verdana" w:cs="Times New Roman"/>
        </w:rPr>
        <w:t>surgimiento</w:t>
      </w:r>
      <w:proofErr w:type="spellEnd"/>
      <w:r w:rsidRPr="00E71066">
        <w:rPr>
          <w:rFonts w:ascii="Verdana" w:eastAsia="Times New Roman" w:hAnsi="Verdana" w:cs="Times New Roman"/>
        </w:rPr>
        <w:t xml:space="preserve"> de la red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región</w:t>
      </w:r>
      <w:proofErr w:type="spellEnd"/>
      <w:r w:rsidRPr="00E71066">
        <w:rPr>
          <w:rFonts w:ascii="Verdana" w:eastAsia="Times New Roman" w:hAnsi="Verdana" w:cs="Times New Roman"/>
        </w:rPr>
        <w:t xml:space="preserve">. </w:t>
      </w:r>
      <w:r>
        <w:rPr>
          <w:rFonts w:ascii="Verdana" w:eastAsia="Times New Roman" w:hAnsi="Verdana" w:cs="Times New Roman"/>
        </w:rPr>
        <w:t xml:space="preserve">El </w:t>
      </w:r>
      <w:proofErr w:type="spellStart"/>
      <w:r>
        <w:rPr>
          <w:rFonts w:ascii="Verdana" w:eastAsia="Times New Roman" w:hAnsi="Verdana" w:cs="Times New Roman"/>
        </w:rPr>
        <w:t>documento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profundiza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las </w:t>
      </w:r>
      <w:proofErr w:type="spellStart"/>
      <w:r w:rsidRPr="00E71066">
        <w:rPr>
          <w:rFonts w:ascii="Verdana" w:eastAsia="Times New Roman" w:hAnsi="Verdana" w:cs="Times New Roman"/>
        </w:rPr>
        <w:t>principales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actividades</w:t>
      </w:r>
      <w:proofErr w:type="spellEnd"/>
      <w:r w:rsidRPr="00E71066">
        <w:rPr>
          <w:rFonts w:ascii="Verdana" w:eastAsia="Times New Roman" w:hAnsi="Verdana" w:cs="Times New Roman"/>
        </w:rPr>
        <w:t xml:space="preserve"> de la red, </w:t>
      </w:r>
      <w:proofErr w:type="spellStart"/>
      <w:r w:rsidRPr="00E71066">
        <w:rPr>
          <w:rFonts w:ascii="Verdana" w:eastAsia="Times New Roman" w:hAnsi="Verdana" w:cs="Times New Roman"/>
        </w:rPr>
        <w:t>destacando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cómo</w:t>
      </w:r>
      <w:proofErr w:type="spellEnd"/>
      <w:r w:rsidRPr="00E71066">
        <w:rPr>
          <w:rFonts w:ascii="Verdana" w:eastAsia="Times New Roman" w:hAnsi="Verdana" w:cs="Times New Roman"/>
        </w:rPr>
        <w:t xml:space="preserve"> sus </w:t>
      </w:r>
      <w:proofErr w:type="spellStart"/>
      <w:r w:rsidRPr="00E71066">
        <w:rPr>
          <w:rFonts w:ascii="Verdana" w:eastAsia="Times New Roman" w:hAnsi="Verdana" w:cs="Times New Roman"/>
        </w:rPr>
        <w:t>iniciativas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colaboración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han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facilitado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intercambio</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conocimientos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transfronterizos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los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programas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formación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establecimiento</w:t>
      </w:r>
      <w:proofErr w:type="spellEnd"/>
      <w:r w:rsidRPr="00E71066">
        <w:rPr>
          <w:rFonts w:ascii="Verdana" w:eastAsia="Times New Roman" w:hAnsi="Verdana" w:cs="Times New Roman"/>
        </w:rPr>
        <w:t xml:space="preserve"> de </w:t>
      </w:r>
      <w:proofErr w:type="gramStart"/>
      <w:r w:rsidRPr="00E71066">
        <w:rPr>
          <w:rFonts w:ascii="Verdana" w:eastAsia="Times New Roman" w:hAnsi="Verdana" w:cs="Times New Roman"/>
        </w:rPr>
        <w:t>un Premio</w:t>
      </w:r>
      <w:proofErr w:type="gramEnd"/>
      <w:r w:rsidRPr="00E71066">
        <w:rPr>
          <w:rFonts w:ascii="Verdana" w:eastAsia="Times New Roman" w:hAnsi="Verdana" w:cs="Times New Roman"/>
        </w:rPr>
        <w:t xml:space="preserve"> Regional de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y la </w:t>
      </w:r>
      <w:proofErr w:type="spellStart"/>
      <w:r w:rsidRPr="00E71066">
        <w:rPr>
          <w:rFonts w:ascii="Verdana" w:eastAsia="Times New Roman" w:hAnsi="Verdana" w:cs="Times New Roman"/>
        </w:rPr>
        <w:t>promoción</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cambios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políticas</w:t>
      </w:r>
      <w:proofErr w:type="spellEnd"/>
      <w:r w:rsidRPr="00E71066">
        <w:rPr>
          <w:rFonts w:ascii="Verdana" w:eastAsia="Times New Roman" w:hAnsi="Verdana" w:cs="Times New Roman"/>
        </w:rPr>
        <w:t xml:space="preserve"> para </w:t>
      </w:r>
      <w:proofErr w:type="spellStart"/>
      <w:r w:rsidRPr="00E71066">
        <w:rPr>
          <w:rFonts w:ascii="Verdana" w:eastAsia="Times New Roman" w:hAnsi="Verdana" w:cs="Times New Roman"/>
        </w:rPr>
        <w:t>institucionalizar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toda</w:t>
      </w:r>
      <w:proofErr w:type="spellEnd"/>
      <w:r w:rsidRPr="00E71066">
        <w:rPr>
          <w:rFonts w:ascii="Verdana" w:eastAsia="Times New Roman" w:hAnsi="Verdana" w:cs="Times New Roman"/>
        </w:rPr>
        <w:t xml:space="preserve"> Europa Central y Oriental. </w:t>
      </w:r>
      <w:proofErr w:type="spellStart"/>
      <w:r>
        <w:rPr>
          <w:rFonts w:ascii="Verdana" w:eastAsia="Times New Roman" w:hAnsi="Verdana" w:cs="Times New Roman"/>
        </w:rPr>
        <w:t>También</w:t>
      </w:r>
      <w:proofErr w:type="spellEnd"/>
      <w:r>
        <w:rPr>
          <w:rFonts w:ascii="Verdana" w:eastAsia="Times New Roman" w:hAnsi="Verdana" w:cs="Times New Roman"/>
        </w:rPr>
        <w:t xml:space="preserve"> se</w:t>
      </w:r>
      <w:r w:rsidRPr="00E71066">
        <w:rPr>
          <w:rFonts w:ascii="Verdana" w:eastAsia="Times New Roman" w:hAnsi="Verdana" w:cs="Times New Roman"/>
        </w:rPr>
        <w:t xml:space="preserve"> </w:t>
      </w:r>
      <w:proofErr w:type="spellStart"/>
      <w:r w:rsidRPr="00E71066">
        <w:rPr>
          <w:rFonts w:ascii="Verdana" w:eastAsia="Times New Roman" w:hAnsi="Verdana" w:cs="Times New Roman"/>
        </w:rPr>
        <w:t>evalua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impacto</w:t>
      </w:r>
      <w:proofErr w:type="spellEnd"/>
      <w:r w:rsidRPr="00E71066">
        <w:rPr>
          <w:rFonts w:ascii="Verdana" w:eastAsia="Times New Roman" w:hAnsi="Verdana" w:cs="Times New Roman"/>
        </w:rPr>
        <w:t xml:space="preserve"> de la red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sus </w:t>
      </w:r>
      <w:proofErr w:type="spellStart"/>
      <w:r w:rsidRPr="00E71066">
        <w:rPr>
          <w:rFonts w:ascii="Verdana" w:eastAsia="Times New Roman" w:hAnsi="Verdana" w:cs="Times New Roman"/>
        </w:rPr>
        <w:t>organizaciones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miembro</w:t>
      </w:r>
      <w:proofErr w:type="spellEnd"/>
      <w:r w:rsidRPr="00E71066">
        <w:rPr>
          <w:rFonts w:ascii="Verdana" w:eastAsia="Times New Roman" w:hAnsi="Verdana" w:cs="Times New Roman"/>
        </w:rPr>
        <w:t xml:space="preserve"> y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avance</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más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amplio</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pedagogía</w:t>
      </w:r>
      <w:proofErr w:type="spellEnd"/>
      <w:r w:rsidRPr="00E71066">
        <w:rPr>
          <w:rFonts w:ascii="Verdana" w:eastAsia="Times New Roman" w:hAnsi="Verdana" w:cs="Times New Roman"/>
        </w:rPr>
        <w:t xml:space="preserve"> del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región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Esto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incluye</w:t>
      </w:r>
      <w:proofErr w:type="spellEnd"/>
      <w:r w:rsidRPr="00E71066">
        <w:rPr>
          <w:rFonts w:ascii="Verdana" w:eastAsia="Times New Roman" w:hAnsi="Verdana" w:cs="Times New Roman"/>
        </w:rPr>
        <w:t xml:space="preserve"> un examen de </w:t>
      </w:r>
      <w:proofErr w:type="spellStart"/>
      <w:r w:rsidRPr="00E71066">
        <w:rPr>
          <w:rFonts w:ascii="Verdana" w:eastAsia="Times New Roman" w:hAnsi="Verdana" w:cs="Times New Roman"/>
        </w:rPr>
        <w:t>los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beneficios</w:t>
      </w:r>
      <w:proofErr w:type="spellEnd"/>
      <w:r w:rsidRPr="00E71066">
        <w:rPr>
          <w:rFonts w:ascii="Verdana" w:eastAsia="Times New Roman" w:hAnsi="Verdana" w:cs="Times New Roman"/>
        </w:rPr>
        <w:t xml:space="preserve"> que las </w:t>
      </w:r>
      <w:proofErr w:type="spellStart"/>
      <w:r w:rsidRPr="00E71066">
        <w:rPr>
          <w:rFonts w:ascii="Verdana" w:eastAsia="Times New Roman" w:hAnsi="Verdana" w:cs="Times New Roman"/>
        </w:rPr>
        <w:t>organizaciones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han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experimentado</w:t>
      </w:r>
      <w:proofErr w:type="spellEnd"/>
      <w:r w:rsidRPr="00E71066">
        <w:rPr>
          <w:rFonts w:ascii="Verdana" w:eastAsia="Times New Roman" w:hAnsi="Verdana" w:cs="Times New Roman"/>
        </w:rPr>
        <w:t xml:space="preserve"> al ser </w:t>
      </w:r>
      <w:proofErr w:type="spellStart"/>
      <w:r w:rsidRPr="00E71066">
        <w:rPr>
          <w:rFonts w:ascii="Verdana" w:eastAsia="Times New Roman" w:hAnsi="Verdana" w:cs="Times New Roman"/>
        </w:rPr>
        <w:t>parte</w:t>
      </w:r>
      <w:proofErr w:type="spellEnd"/>
      <w:r w:rsidRPr="00E71066">
        <w:rPr>
          <w:rFonts w:ascii="Verdana" w:eastAsia="Times New Roman" w:hAnsi="Verdana" w:cs="Times New Roman"/>
        </w:rPr>
        <w:t xml:space="preserve"> de la red, </w:t>
      </w:r>
      <w:proofErr w:type="spellStart"/>
      <w:r w:rsidRPr="00E71066">
        <w:rPr>
          <w:rFonts w:ascii="Verdana" w:eastAsia="Times New Roman" w:hAnsi="Verdana" w:cs="Times New Roman"/>
        </w:rPr>
        <w:t>así</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como</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contribución</w:t>
      </w:r>
      <w:proofErr w:type="spellEnd"/>
      <w:r w:rsidRPr="00E71066">
        <w:rPr>
          <w:rFonts w:ascii="Verdana" w:eastAsia="Times New Roman" w:hAnsi="Verdana" w:cs="Times New Roman"/>
        </w:rPr>
        <w:t xml:space="preserve"> de la red al </w:t>
      </w:r>
      <w:proofErr w:type="spellStart"/>
      <w:r w:rsidRPr="00E71066">
        <w:rPr>
          <w:rFonts w:ascii="Verdana" w:eastAsia="Times New Roman" w:hAnsi="Verdana" w:cs="Times New Roman"/>
        </w:rPr>
        <w:t>crecimiento</w:t>
      </w:r>
      <w:proofErr w:type="spellEnd"/>
      <w:r w:rsidRPr="00E71066">
        <w:rPr>
          <w:rFonts w:ascii="Verdana" w:eastAsia="Times New Roman" w:hAnsi="Verdana" w:cs="Times New Roman"/>
        </w:rPr>
        <w:t xml:space="preserve"> y la </w:t>
      </w:r>
      <w:proofErr w:type="spellStart"/>
      <w:r w:rsidRPr="00E71066">
        <w:rPr>
          <w:rFonts w:ascii="Verdana" w:eastAsia="Times New Roman" w:hAnsi="Verdana" w:cs="Times New Roman"/>
        </w:rPr>
        <w:t>sostenibilidad</w:t>
      </w:r>
      <w:proofErr w:type="spellEnd"/>
      <w:r w:rsidRPr="00E71066">
        <w:rPr>
          <w:rFonts w:ascii="Verdana" w:eastAsia="Times New Roman" w:hAnsi="Verdana" w:cs="Times New Roman"/>
        </w:rPr>
        <w:t xml:space="preserve"> de las </w:t>
      </w:r>
      <w:proofErr w:type="spellStart"/>
      <w:r w:rsidRPr="00E71066">
        <w:rPr>
          <w:rFonts w:ascii="Verdana" w:eastAsia="Times New Roman" w:hAnsi="Verdana" w:cs="Times New Roman"/>
        </w:rPr>
        <w:t>iniciativas</w:t>
      </w:r>
      <w:proofErr w:type="spellEnd"/>
      <w:r w:rsidRPr="00E71066">
        <w:rPr>
          <w:rFonts w:ascii="Verdana" w:eastAsia="Times New Roman" w:hAnsi="Verdana" w:cs="Times New Roman"/>
        </w:rPr>
        <w:t xml:space="preserve"> de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Por </w:t>
      </w:r>
      <w:proofErr w:type="spellStart"/>
      <w:r w:rsidRPr="00E71066">
        <w:rPr>
          <w:rFonts w:ascii="Verdana" w:eastAsia="Times New Roman" w:hAnsi="Verdana" w:cs="Times New Roman"/>
        </w:rPr>
        <w:t>último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estudio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reflexiona</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sobre</w:t>
      </w:r>
      <w:proofErr w:type="spellEnd"/>
      <w:r w:rsidRPr="00E71066">
        <w:rPr>
          <w:rFonts w:ascii="Verdana" w:eastAsia="Times New Roman" w:hAnsi="Verdana" w:cs="Times New Roman"/>
        </w:rPr>
        <w:t xml:space="preserve"> las </w:t>
      </w:r>
      <w:proofErr w:type="spellStart"/>
      <w:r w:rsidRPr="00E71066">
        <w:rPr>
          <w:rFonts w:ascii="Verdana" w:eastAsia="Times New Roman" w:hAnsi="Verdana" w:cs="Times New Roman"/>
        </w:rPr>
        <w:t>perspectivas</w:t>
      </w:r>
      <w:proofErr w:type="spellEnd"/>
      <w:r w:rsidRPr="00E71066">
        <w:rPr>
          <w:rFonts w:ascii="Verdana" w:eastAsia="Times New Roman" w:hAnsi="Verdana" w:cs="Times New Roman"/>
        </w:rPr>
        <w:t xml:space="preserve"> de la </w:t>
      </w:r>
      <w:r w:rsidR="001B7967">
        <w:rPr>
          <w:rFonts w:ascii="Verdana" w:eastAsia="Times New Roman" w:hAnsi="Verdana" w:cs="Times New Roman"/>
        </w:rPr>
        <w:t>re</w:t>
      </w:r>
      <w:r w:rsidRPr="00E71066">
        <w:rPr>
          <w:rFonts w:ascii="Verdana" w:eastAsia="Times New Roman" w:hAnsi="Verdana" w:cs="Times New Roman"/>
        </w:rPr>
        <w:t xml:space="preserve">d, </w:t>
      </w:r>
      <w:proofErr w:type="spellStart"/>
      <w:r w:rsidRPr="00E71066">
        <w:rPr>
          <w:rFonts w:ascii="Verdana" w:eastAsia="Times New Roman" w:hAnsi="Verdana" w:cs="Times New Roman"/>
        </w:rPr>
        <w:t>explorando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estrategias</w:t>
      </w:r>
      <w:proofErr w:type="spellEnd"/>
      <w:r w:rsidRPr="00E71066">
        <w:rPr>
          <w:rFonts w:ascii="Verdana" w:eastAsia="Times New Roman" w:hAnsi="Verdana" w:cs="Times New Roman"/>
        </w:rPr>
        <w:t xml:space="preserve"> y </w:t>
      </w:r>
      <w:proofErr w:type="spellStart"/>
      <w:r w:rsidRPr="00E71066">
        <w:rPr>
          <w:rFonts w:ascii="Verdana" w:eastAsia="Times New Roman" w:hAnsi="Verdana" w:cs="Times New Roman"/>
        </w:rPr>
        <w:t>oportunidades</w:t>
      </w:r>
      <w:proofErr w:type="spellEnd"/>
      <w:r w:rsidRPr="00E71066">
        <w:rPr>
          <w:rFonts w:ascii="Verdana" w:eastAsia="Times New Roman" w:hAnsi="Verdana" w:cs="Times New Roman"/>
        </w:rPr>
        <w:t xml:space="preserve"> para </w:t>
      </w:r>
      <w:proofErr w:type="spellStart"/>
      <w:r w:rsidRPr="00E71066">
        <w:rPr>
          <w:rFonts w:ascii="Verdana" w:eastAsia="Times New Roman" w:hAnsi="Verdana" w:cs="Times New Roman"/>
        </w:rPr>
        <w:t>fortalecer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aún</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más</w:t>
      </w:r>
      <w:proofErr w:type="spellEnd"/>
      <w:r w:rsidRPr="00E71066">
        <w:rPr>
          <w:rFonts w:ascii="Verdana" w:eastAsia="Times New Roman" w:hAnsi="Verdana" w:cs="Times New Roman"/>
        </w:rPr>
        <w:t xml:space="preserve"> la </w:t>
      </w:r>
      <w:proofErr w:type="spellStart"/>
      <w:r w:rsidRPr="00E71066">
        <w:rPr>
          <w:rFonts w:ascii="Verdana" w:eastAsia="Times New Roman" w:hAnsi="Verdana" w:cs="Times New Roman"/>
        </w:rPr>
        <w:t>colaboración</w:t>
      </w:r>
      <w:proofErr w:type="spellEnd"/>
      <w:r w:rsidRPr="00E71066">
        <w:rPr>
          <w:rFonts w:ascii="Verdana" w:eastAsia="Times New Roman" w:hAnsi="Verdana" w:cs="Times New Roman"/>
        </w:rPr>
        <w:t xml:space="preserve"> regional y </w:t>
      </w:r>
      <w:proofErr w:type="spellStart"/>
      <w:r w:rsidRPr="00E71066">
        <w:rPr>
          <w:rFonts w:ascii="Verdana" w:eastAsia="Times New Roman" w:hAnsi="Verdana" w:cs="Times New Roman"/>
        </w:rPr>
        <w:t>destacando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los</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beneficios</w:t>
      </w:r>
      <w:proofErr w:type="spellEnd"/>
      <w:r w:rsidRPr="00E71066">
        <w:rPr>
          <w:rFonts w:ascii="Verdana" w:eastAsia="Times New Roman" w:hAnsi="Verdana" w:cs="Times New Roman"/>
        </w:rPr>
        <w:t xml:space="preserve"> a largo </w:t>
      </w:r>
      <w:proofErr w:type="spellStart"/>
      <w:r w:rsidRPr="00E71066">
        <w:rPr>
          <w:rFonts w:ascii="Verdana" w:eastAsia="Times New Roman" w:hAnsi="Verdana" w:cs="Times New Roman"/>
        </w:rPr>
        <w:t>plazo</w:t>
      </w:r>
      <w:proofErr w:type="spellEnd"/>
      <w:r w:rsidRPr="00E71066">
        <w:rPr>
          <w:rFonts w:ascii="Verdana" w:eastAsia="Times New Roman" w:hAnsi="Verdana" w:cs="Times New Roman"/>
        </w:rPr>
        <w:t xml:space="preserve"> de la </w:t>
      </w:r>
      <w:proofErr w:type="spellStart"/>
      <w:r w:rsidRPr="00E71066">
        <w:rPr>
          <w:rFonts w:ascii="Verdana" w:eastAsia="Times New Roman" w:hAnsi="Verdana" w:cs="Times New Roman"/>
        </w:rPr>
        <w:t>creación</w:t>
      </w:r>
      <w:proofErr w:type="spellEnd"/>
      <w:r w:rsidRPr="00E71066">
        <w:rPr>
          <w:rFonts w:ascii="Verdana" w:eastAsia="Times New Roman" w:hAnsi="Verdana" w:cs="Times New Roman"/>
        </w:rPr>
        <w:t xml:space="preserve"> de redes para </w:t>
      </w:r>
      <w:proofErr w:type="spellStart"/>
      <w:r w:rsidRPr="00E71066">
        <w:rPr>
          <w:rFonts w:ascii="Verdana" w:eastAsia="Times New Roman" w:hAnsi="Verdana" w:cs="Times New Roman"/>
        </w:rPr>
        <w:t>promover</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el</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aprendizaje-servicio</w:t>
      </w:r>
      <w:proofErr w:type="spellEnd"/>
      <w:r w:rsidRPr="00E71066">
        <w:rPr>
          <w:rFonts w:ascii="Verdana" w:eastAsia="Times New Roman" w:hAnsi="Verdana" w:cs="Times New Roman"/>
        </w:rPr>
        <w:t xml:space="preserve"> </w:t>
      </w:r>
      <w:proofErr w:type="spellStart"/>
      <w:r w:rsidRPr="00E71066">
        <w:rPr>
          <w:rFonts w:ascii="Verdana" w:eastAsia="Times New Roman" w:hAnsi="Verdana" w:cs="Times New Roman"/>
        </w:rPr>
        <w:t>en</w:t>
      </w:r>
      <w:proofErr w:type="spellEnd"/>
      <w:r w:rsidRPr="00E71066">
        <w:rPr>
          <w:rFonts w:ascii="Verdana" w:eastAsia="Times New Roman" w:hAnsi="Verdana" w:cs="Times New Roman"/>
        </w:rPr>
        <w:t xml:space="preserve"> Europa Central y Oriental.</w:t>
      </w:r>
    </w:p>
    <w:p w14:paraId="362E966F" w14:textId="1F6AF517" w:rsidR="00E47DF3" w:rsidRDefault="009F2248" w:rsidP="009F2248">
      <w:pPr>
        <w:spacing w:after="240" w:line="276" w:lineRule="auto"/>
        <w:jc w:val="both"/>
        <w:rPr>
          <w:rFonts w:ascii="Verdana" w:eastAsia="Times New Roman" w:hAnsi="Verdana" w:cs="Times New Roman"/>
        </w:rPr>
      </w:pPr>
      <w:r w:rsidRPr="00895D1C">
        <w:rPr>
          <w:rFonts w:ascii="Verdana" w:eastAsia="Times New Roman" w:hAnsi="Verdana" w:cs="Times New Roman"/>
          <w:b/>
          <w:bCs/>
          <w:sz w:val="24"/>
          <w:szCs w:val="24"/>
        </w:rPr>
        <w:t>Palabras clave</w:t>
      </w:r>
      <w:r w:rsidRPr="00895D1C">
        <w:rPr>
          <w:rFonts w:ascii="Verdana" w:eastAsia="Times New Roman" w:hAnsi="Verdana" w:cs="Times New Roman"/>
          <w:b/>
          <w:bCs/>
        </w:rPr>
        <w:t xml:space="preserve">: </w:t>
      </w:r>
      <w:proofErr w:type="spellStart"/>
      <w:r w:rsidR="00E47DF3" w:rsidRPr="00895D1C">
        <w:rPr>
          <w:rFonts w:ascii="Verdana" w:eastAsia="Times New Roman" w:hAnsi="Verdana" w:cs="Times New Roman"/>
        </w:rPr>
        <w:t>a</w:t>
      </w:r>
      <w:r w:rsidRPr="00895D1C">
        <w:rPr>
          <w:rFonts w:ascii="Verdana" w:eastAsia="Times New Roman" w:hAnsi="Verdana" w:cs="Times New Roman"/>
        </w:rPr>
        <w:t>prendizaje</w:t>
      </w:r>
      <w:r w:rsidR="00E47DF3" w:rsidRPr="00895D1C">
        <w:rPr>
          <w:rFonts w:ascii="Verdana" w:eastAsia="Times New Roman" w:hAnsi="Verdana" w:cs="Times New Roman"/>
        </w:rPr>
        <w:t>-s</w:t>
      </w:r>
      <w:r w:rsidRPr="00895D1C">
        <w:rPr>
          <w:rFonts w:ascii="Verdana" w:eastAsia="Times New Roman" w:hAnsi="Verdana" w:cs="Times New Roman"/>
        </w:rPr>
        <w:t>ervicio</w:t>
      </w:r>
      <w:proofErr w:type="spellEnd"/>
      <w:r w:rsidR="00E47DF3" w:rsidRPr="00895D1C">
        <w:rPr>
          <w:rFonts w:ascii="Verdana" w:eastAsia="Times New Roman" w:hAnsi="Verdana" w:cs="Times New Roman"/>
        </w:rPr>
        <w:t xml:space="preserve">, </w:t>
      </w:r>
      <w:r w:rsidR="00895D1C" w:rsidRPr="00895D1C">
        <w:rPr>
          <w:rFonts w:ascii="Verdana" w:eastAsia="Times New Roman" w:hAnsi="Verdana" w:cs="Times New Roman"/>
        </w:rPr>
        <w:t xml:space="preserve">red, Europa </w:t>
      </w:r>
      <w:r w:rsidR="00E71066">
        <w:rPr>
          <w:rFonts w:ascii="Verdana" w:eastAsia="Times New Roman" w:hAnsi="Verdana" w:cs="Times New Roman"/>
        </w:rPr>
        <w:t>C</w:t>
      </w:r>
      <w:r w:rsidR="00895D1C" w:rsidRPr="00895D1C">
        <w:rPr>
          <w:rFonts w:ascii="Verdana" w:eastAsia="Times New Roman" w:hAnsi="Verdana" w:cs="Times New Roman"/>
        </w:rPr>
        <w:t xml:space="preserve">entral y </w:t>
      </w:r>
      <w:r w:rsidR="00E71066">
        <w:rPr>
          <w:rFonts w:ascii="Verdana" w:eastAsia="Times New Roman" w:hAnsi="Verdana" w:cs="Times New Roman"/>
        </w:rPr>
        <w:t>Oriental</w:t>
      </w:r>
      <w:r w:rsidR="00E47DF3" w:rsidRPr="00895D1C">
        <w:rPr>
          <w:rFonts w:ascii="Verdana" w:eastAsia="Times New Roman" w:hAnsi="Verdana" w:cs="Times New Roman"/>
        </w:rPr>
        <w:t>.</w:t>
      </w:r>
    </w:p>
    <w:p w14:paraId="32F82A7D" w14:textId="2E4B5E90" w:rsidR="009F2248" w:rsidRDefault="009F2248" w:rsidP="00E47DF3">
      <w:pPr>
        <w:spacing w:after="240" w:line="276" w:lineRule="auto"/>
        <w:jc w:val="both"/>
        <w:rPr>
          <w:rFonts w:ascii="Verdana" w:eastAsia="Times New Roman" w:hAnsi="Verdana" w:cs="Times New Roman"/>
        </w:rPr>
      </w:pPr>
      <w:r>
        <w:rPr>
          <w:rFonts w:ascii="Verdana" w:eastAsia="Times New Roman" w:hAnsi="Verdana" w:cs="Times New Roman"/>
        </w:rPr>
        <w:br w:type="page"/>
      </w:r>
    </w:p>
    <w:p w14:paraId="00000010" w14:textId="29688501" w:rsidR="00836547" w:rsidRPr="009F2248" w:rsidRDefault="00B1208D" w:rsidP="009F2248">
      <w:pPr>
        <w:spacing w:after="240" w:line="276" w:lineRule="auto"/>
        <w:jc w:val="both"/>
        <w:rPr>
          <w:rFonts w:ascii="Verdana" w:eastAsia="Times New Roman" w:hAnsi="Verdana" w:cs="Times New Roman"/>
          <w:b/>
        </w:rPr>
      </w:pPr>
      <w:r>
        <w:rPr>
          <w:rFonts w:ascii="Verdana" w:eastAsia="Times New Roman" w:hAnsi="Verdana" w:cs="Times New Roman"/>
          <w:b/>
        </w:rPr>
        <w:lastRenderedPageBreak/>
        <w:t>1.</w:t>
      </w:r>
      <w:r w:rsidR="00176DB2">
        <w:rPr>
          <w:rFonts w:ascii="Verdana" w:eastAsia="Times New Roman" w:hAnsi="Verdana" w:cs="Times New Roman"/>
          <w:b/>
        </w:rPr>
        <w:t xml:space="preserve"> </w:t>
      </w:r>
      <w:r w:rsidR="006076EF" w:rsidRPr="009F2248">
        <w:rPr>
          <w:rFonts w:ascii="Verdana" w:eastAsia="Times New Roman" w:hAnsi="Verdana" w:cs="Times New Roman"/>
          <w:b/>
        </w:rPr>
        <w:t>Introduction</w:t>
      </w:r>
    </w:p>
    <w:p w14:paraId="3945874A" w14:textId="2D680BE8" w:rsidR="00E47DF3" w:rsidRPr="009F2248" w:rsidRDefault="4B0FF0D5"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 xml:space="preserve">The Central and </w:t>
      </w:r>
      <w:r w:rsidR="00C03084" w:rsidRPr="0FC6D2D6">
        <w:rPr>
          <w:rFonts w:ascii="Verdana" w:eastAsia="Times New Roman" w:hAnsi="Verdana" w:cs="Times New Roman"/>
        </w:rPr>
        <w:t>Southeastern</w:t>
      </w:r>
      <w:r w:rsidRPr="0FC6D2D6">
        <w:rPr>
          <w:rFonts w:ascii="Verdana" w:eastAsia="Times New Roman" w:hAnsi="Verdana" w:cs="Times New Roman"/>
        </w:rPr>
        <w:t xml:space="preserve"> European Service-Learning Network1 is a collaborative informal platform dedicated to advancing service-learning initiatives across the CSEE region. Its mission is to enable a supportive environment for Network stakeholders to use service-learning for community development and relevant learning in Central and </w:t>
      </w:r>
      <w:r w:rsidR="00C03084" w:rsidRPr="0FC6D2D6">
        <w:rPr>
          <w:rFonts w:ascii="Verdana" w:eastAsia="Times New Roman" w:hAnsi="Verdana" w:cs="Times New Roman"/>
        </w:rPr>
        <w:t>Southeastern</w:t>
      </w:r>
      <w:r w:rsidRPr="0FC6D2D6">
        <w:rPr>
          <w:rFonts w:ascii="Verdana" w:eastAsia="Times New Roman" w:hAnsi="Verdana" w:cs="Times New Roman"/>
        </w:rPr>
        <w:t xml:space="preserve"> Europe.</w:t>
      </w:r>
    </w:p>
    <w:p w14:paraId="50F4A11F" w14:textId="35F55EB7" w:rsidR="00E47DF3" w:rsidRPr="009F2248" w:rsidRDefault="4B0FF0D5" w:rsidP="0FC6D2D6">
      <w:pPr>
        <w:spacing w:after="240" w:line="276" w:lineRule="auto"/>
        <w:jc w:val="both"/>
      </w:pPr>
      <w:r w:rsidRPr="0FC6D2D6">
        <w:rPr>
          <w:rFonts w:ascii="Verdana" w:eastAsia="Times New Roman" w:hAnsi="Verdana" w:cs="Times New Roman"/>
        </w:rPr>
        <w:t xml:space="preserve">To better understand the establishment, activities and impact of the CSEE Network for Service-Learning, it is essential to understand the specifics of the CEE region2. The countries of Central and </w:t>
      </w:r>
      <w:r w:rsidR="00C03084" w:rsidRPr="0FC6D2D6">
        <w:rPr>
          <w:rFonts w:ascii="Verdana" w:eastAsia="Times New Roman" w:hAnsi="Verdana" w:cs="Times New Roman"/>
        </w:rPr>
        <w:t>Southeastern</w:t>
      </w:r>
      <w:r w:rsidRPr="0FC6D2D6">
        <w:rPr>
          <w:rFonts w:ascii="Verdana" w:eastAsia="Times New Roman" w:hAnsi="Verdana" w:cs="Times New Roman"/>
        </w:rPr>
        <w:t xml:space="preserve"> Europe are highly diverse. While they share everyday historical experiences, such as communism, socialism, and the transition to democracy, each country has unique roots in the transformation process. Since the 1990s, all CEE countries have undergone political, economic, cultural, and social changes related to broader societal shifts like </w:t>
      </w:r>
      <w:proofErr w:type="spellStart"/>
      <w:r w:rsidRPr="0FC6D2D6">
        <w:rPr>
          <w:rFonts w:ascii="Verdana" w:eastAsia="Times New Roman" w:hAnsi="Verdana" w:cs="Times New Roman"/>
        </w:rPr>
        <w:t>globalisation</w:t>
      </w:r>
      <w:proofErr w:type="spellEnd"/>
      <w:r w:rsidRPr="0FC6D2D6">
        <w:rPr>
          <w:rFonts w:ascii="Verdana" w:eastAsia="Times New Roman" w:hAnsi="Verdana" w:cs="Times New Roman"/>
        </w:rPr>
        <w:t xml:space="preserve">, migration, and </w:t>
      </w:r>
      <w:proofErr w:type="spellStart"/>
      <w:r w:rsidRPr="0FC6D2D6">
        <w:rPr>
          <w:rFonts w:ascii="Verdana" w:eastAsia="Times New Roman" w:hAnsi="Verdana" w:cs="Times New Roman"/>
        </w:rPr>
        <w:t>modernisation</w:t>
      </w:r>
      <w:proofErr w:type="spellEnd"/>
      <w:r w:rsidRPr="0FC6D2D6">
        <w:rPr>
          <w:rFonts w:ascii="Verdana" w:eastAsia="Times New Roman" w:hAnsi="Verdana" w:cs="Times New Roman"/>
        </w:rPr>
        <w:t xml:space="preserve">. Though witnessed later than in Western European countries, these changes have manifested in CEE nations' educational systems and forms of civic engagement. This context has also influenced the region's development of service-learning as a community-oriented pedagogical approach.  </w:t>
      </w:r>
    </w:p>
    <w:p w14:paraId="08D20946" w14:textId="4FC109B7" w:rsidR="00E47DF3" w:rsidRPr="009F2248" w:rsidRDefault="4B0FF0D5" w:rsidP="0FC6D2D6">
      <w:pPr>
        <w:spacing w:after="240" w:line="276" w:lineRule="auto"/>
        <w:jc w:val="both"/>
      </w:pPr>
      <w:r w:rsidRPr="0FC6D2D6">
        <w:rPr>
          <w:rFonts w:ascii="Verdana" w:eastAsia="Times New Roman" w:hAnsi="Verdana" w:cs="Times New Roman"/>
        </w:rPr>
        <w:t>Service-learning in the CEE region responds, on the one hand, to the challenges of education and, on the other hand, to the challenges of promoting civic and community engagement. During the communist era, education in CEE countries was influenced by the state's blatant interference in the autonomy of schools, but also by the concept of collective education and the strong authoritarian position of the teacher. Thus, in the transformation of society, the education system has also been transformed, but it still faces many challenges (</w:t>
      </w:r>
      <w:proofErr w:type="spellStart"/>
      <w:r w:rsidRPr="0FC6D2D6">
        <w:rPr>
          <w:rFonts w:ascii="Verdana" w:eastAsia="Times New Roman" w:hAnsi="Verdana" w:cs="Times New Roman"/>
        </w:rPr>
        <w:t>Hörner</w:t>
      </w:r>
      <w:proofErr w:type="spellEnd"/>
      <w:r w:rsidRPr="0FC6D2D6">
        <w:rPr>
          <w:rFonts w:ascii="Verdana" w:eastAsia="Times New Roman" w:hAnsi="Verdana" w:cs="Times New Roman"/>
        </w:rPr>
        <w:t xml:space="preserve"> et al., 2015; </w:t>
      </w:r>
      <w:proofErr w:type="spellStart"/>
      <w:r w:rsidRPr="0FC6D2D6">
        <w:rPr>
          <w:rFonts w:ascii="Verdana" w:eastAsia="Times New Roman" w:hAnsi="Verdana" w:cs="Times New Roman"/>
        </w:rPr>
        <w:t>Brozmanová</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Gregorová</w:t>
      </w:r>
      <w:proofErr w:type="spellEnd"/>
      <w:r w:rsidRPr="0FC6D2D6">
        <w:rPr>
          <w:rFonts w:ascii="Verdana" w:eastAsia="Times New Roman" w:hAnsi="Verdana" w:cs="Times New Roman"/>
        </w:rPr>
        <w:t xml:space="preserve"> et al., 2019), such as lack of inclusiveness, </w:t>
      </w:r>
      <w:proofErr w:type="spellStart"/>
      <w:r w:rsidRPr="0FC6D2D6">
        <w:rPr>
          <w:rFonts w:ascii="Verdana" w:eastAsia="Times New Roman" w:hAnsi="Verdana" w:cs="Times New Roman"/>
        </w:rPr>
        <w:t>scepticism</w:t>
      </w:r>
      <w:proofErr w:type="spellEnd"/>
      <w:r w:rsidRPr="0FC6D2D6">
        <w:rPr>
          <w:rFonts w:ascii="Verdana" w:eastAsia="Times New Roman" w:hAnsi="Verdana" w:cs="Times New Roman"/>
        </w:rPr>
        <w:t xml:space="preserve"> concerning the introduction of innovative education methods, the transfer of knowledge and little emphasis on the formation of skills and the preparation of young people for real life, and a weak link between education and the needs of practice. It is also not easy for many schools to take the role of the community actor. Many are still not open to cooperation with public and non-governmental organisations and do not have sufficient capacities to solve community problems. Service-learning with its proven benefits in transforming education (</w:t>
      </w:r>
      <w:proofErr w:type="spellStart"/>
      <w:r w:rsidRPr="0FC6D2D6">
        <w:rPr>
          <w:rFonts w:ascii="Verdana" w:eastAsia="Times New Roman" w:hAnsi="Verdana" w:cs="Times New Roman"/>
        </w:rPr>
        <w:t>Celio</w:t>
      </w:r>
      <w:proofErr w:type="spellEnd"/>
      <w:r w:rsidRPr="0FC6D2D6">
        <w:rPr>
          <w:rFonts w:ascii="Verdana" w:eastAsia="Times New Roman" w:hAnsi="Verdana" w:cs="Times New Roman"/>
        </w:rPr>
        <w:t xml:space="preserve"> et al., 2011; Newman et al., 2015; Warren, 2012), for example, changing the role of the school in the community but also the role of the teacher by engaging pupils in the learning process, promoting inclusion and connecting what students learn with the natural world can respond very well to the above challenges and hence many organisations in CEE have started to develop service-learning as an educational strategy that can transform the education system.  </w:t>
      </w:r>
    </w:p>
    <w:p w14:paraId="52AF5303" w14:textId="19FC4195" w:rsidR="00E47DF3" w:rsidRPr="009F2248" w:rsidRDefault="4B0FF0D5" w:rsidP="0FC6D2D6">
      <w:pPr>
        <w:spacing w:after="240" w:line="276" w:lineRule="auto"/>
        <w:jc w:val="both"/>
      </w:pPr>
      <w:r w:rsidRPr="0FC6D2D6">
        <w:rPr>
          <w:rFonts w:ascii="Verdana" w:eastAsia="Times New Roman" w:hAnsi="Verdana" w:cs="Times New Roman"/>
        </w:rPr>
        <w:lastRenderedPageBreak/>
        <w:t>On the other hand, service-learning in this region is also a response to the underlining of education towards democracy, active citizenship and taking responsibility for the society in which citizens live. The tradition of civic activism was during the communism forcibly interrupted in individual totalitarian regimes, and the activities of all forms of independent organisations were purposefully and systematically reduced or subject to strict control. (</w:t>
      </w:r>
      <w:proofErr w:type="spellStart"/>
      <w:r w:rsidRPr="0FC6D2D6">
        <w:rPr>
          <w:rFonts w:ascii="Verdana" w:eastAsia="Times New Roman" w:hAnsi="Verdana" w:cs="Times New Roman"/>
        </w:rPr>
        <w:t>Brozmanová</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Gregorová</w:t>
      </w:r>
      <w:proofErr w:type="spellEnd"/>
      <w:r w:rsidRPr="0FC6D2D6">
        <w:rPr>
          <w:rFonts w:ascii="Verdana" w:eastAsia="Times New Roman" w:hAnsi="Verdana" w:cs="Times New Roman"/>
        </w:rPr>
        <w:t xml:space="preserve"> &amp; </w:t>
      </w:r>
      <w:proofErr w:type="spellStart"/>
      <w:r w:rsidRPr="0FC6D2D6">
        <w:rPr>
          <w:rFonts w:ascii="Verdana" w:eastAsia="Times New Roman" w:hAnsi="Verdana" w:cs="Times New Roman"/>
        </w:rPr>
        <w:t>Heinzová</w:t>
      </w:r>
      <w:proofErr w:type="spellEnd"/>
      <w:r w:rsidRPr="0FC6D2D6">
        <w:rPr>
          <w:rFonts w:ascii="Verdana" w:eastAsia="Times New Roman" w:hAnsi="Verdana" w:cs="Times New Roman"/>
        </w:rPr>
        <w:t>, 2023). In the aftermath of the 1990s, national education policies in CEE have largely overlooked the importance of fostering students' civic engagement as part of their educational experience. Instead, educating about democracy, human rights, political participation, civic engagement, volunteering, social responsibility, and activism has been predominantly left to the efforts of non-profit organisations.  (</w:t>
      </w:r>
      <w:proofErr w:type="spellStart"/>
      <w:r w:rsidRPr="0FC6D2D6">
        <w:rPr>
          <w:rFonts w:ascii="Verdana" w:eastAsia="Times New Roman" w:hAnsi="Verdana" w:cs="Times New Roman"/>
        </w:rPr>
        <w:t>Culum</w:t>
      </w:r>
      <w:proofErr w:type="spellEnd"/>
      <w:r w:rsidRPr="0FC6D2D6">
        <w:rPr>
          <w:rFonts w:ascii="Verdana" w:eastAsia="Times New Roman" w:hAnsi="Verdana" w:cs="Times New Roman"/>
        </w:rPr>
        <w:t xml:space="preserve"> </w:t>
      </w:r>
      <w:r w:rsidR="001B7967">
        <w:rPr>
          <w:rFonts w:ascii="Verdana" w:eastAsia="Times New Roman" w:hAnsi="Verdana" w:cs="Times New Roman"/>
        </w:rPr>
        <w:t>et al.</w:t>
      </w:r>
      <w:r w:rsidRPr="0FC6D2D6">
        <w:rPr>
          <w:rFonts w:ascii="Verdana" w:eastAsia="Times New Roman" w:hAnsi="Verdana" w:cs="Times New Roman"/>
        </w:rPr>
        <w:t xml:space="preserve">, 2021).  As a result, it is not surprising that numerous EU reports and national studies have found political literacy and civic participation in many CEE countries to be significantly lower than in other European nations with a more extensive democratic history (see, for example, European Union Open Data Portal, 2017, 2020).  Thus, the service-learning strategy has responded appropriately to the needs in this area, and a parallel argument for its development has been its benefits in terms of increasing personal and social responsibility or education for volunteering and active community life. At the same time, the strategy has made it possible to open schools to this very subject of education, which in many countries was seen as the preserve of non-governmental organisations rather than formal education.  </w:t>
      </w:r>
    </w:p>
    <w:p w14:paraId="419FF980" w14:textId="457C08D1" w:rsidR="00E47DF3" w:rsidRPr="009F2248" w:rsidRDefault="4B0FF0D5" w:rsidP="0FC6D2D6">
      <w:pPr>
        <w:spacing w:after="240" w:line="276" w:lineRule="auto"/>
        <w:jc w:val="both"/>
      </w:pPr>
      <w:r w:rsidRPr="0FC6D2D6">
        <w:rPr>
          <w:rFonts w:ascii="Verdana" w:eastAsia="Times New Roman" w:hAnsi="Verdana" w:cs="Times New Roman"/>
        </w:rPr>
        <w:t>Against this background, the CSEE Network for Service-Learning has been an important initiative to address the urgent need to bridge the gap between educational institutions and local communities, increase the quality of education and inclusiveness and foster civic engagement across Central and Eastern Europe.</w:t>
      </w:r>
    </w:p>
    <w:p w14:paraId="267A56D4" w14:textId="2037D950" w:rsidR="00836547" w:rsidRPr="009F2248" w:rsidRDefault="00B1208D" w:rsidP="0FC6D2D6">
      <w:pPr>
        <w:spacing w:after="240" w:line="276" w:lineRule="auto"/>
        <w:jc w:val="both"/>
        <w:rPr>
          <w:rFonts w:ascii="Verdana" w:eastAsia="Times New Roman" w:hAnsi="Verdana" w:cs="Times New Roman"/>
        </w:rPr>
      </w:pPr>
      <w:r w:rsidRPr="0FC6D2D6">
        <w:rPr>
          <w:rFonts w:ascii="Verdana" w:eastAsia="Times New Roman" w:hAnsi="Verdana" w:cs="Times New Roman"/>
          <w:b/>
          <w:bCs/>
        </w:rPr>
        <w:t>2.</w:t>
      </w:r>
      <w:r w:rsidR="11A1CF34" w:rsidRPr="0FC6D2D6">
        <w:rPr>
          <w:rFonts w:ascii="Verdana" w:eastAsia="Times New Roman" w:hAnsi="Verdana" w:cs="Times New Roman"/>
          <w:b/>
          <w:bCs/>
        </w:rPr>
        <w:t xml:space="preserve"> Development of CSEE Network for Service-Learning, </w:t>
      </w:r>
      <w:r w:rsidR="00C03084">
        <w:rPr>
          <w:rFonts w:ascii="Verdana" w:eastAsia="Times New Roman" w:hAnsi="Verdana" w:cs="Times New Roman"/>
          <w:b/>
          <w:bCs/>
        </w:rPr>
        <w:t>m</w:t>
      </w:r>
      <w:r w:rsidR="11A1CF34" w:rsidRPr="0FC6D2D6">
        <w:rPr>
          <w:rFonts w:ascii="Verdana" w:eastAsia="Times New Roman" w:hAnsi="Verdana" w:cs="Times New Roman"/>
          <w:b/>
          <w:bCs/>
        </w:rPr>
        <w:t xml:space="preserve">ain </w:t>
      </w:r>
      <w:r w:rsidR="00C03084">
        <w:rPr>
          <w:rFonts w:ascii="Verdana" w:eastAsia="Times New Roman" w:hAnsi="Verdana" w:cs="Times New Roman"/>
          <w:b/>
          <w:bCs/>
        </w:rPr>
        <w:t>o</w:t>
      </w:r>
      <w:r w:rsidR="11A1CF34" w:rsidRPr="0FC6D2D6">
        <w:rPr>
          <w:rFonts w:ascii="Verdana" w:eastAsia="Times New Roman" w:hAnsi="Verdana" w:cs="Times New Roman"/>
          <w:b/>
          <w:bCs/>
        </w:rPr>
        <w:t xml:space="preserve">bjectives and </w:t>
      </w:r>
      <w:r w:rsidR="00C03084">
        <w:rPr>
          <w:rFonts w:ascii="Verdana" w:eastAsia="Times New Roman" w:hAnsi="Verdana" w:cs="Times New Roman"/>
          <w:b/>
          <w:bCs/>
        </w:rPr>
        <w:t>a</w:t>
      </w:r>
      <w:r w:rsidR="11A1CF34" w:rsidRPr="0FC6D2D6">
        <w:rPr>
          <w:rFonts w:ascii="Verdana" w:eastAsia="Times New Roman" w:hAnsi="Verdana" w:cs="Times New Roman"/>
          <w:b/>
          <w:bCs/>
        </w:rPr>
        <w:t>ctivities</w:t>
      </w:r>
    </w:p>
    <w:p w14:paraId="3DAD4712" w14:textId="0BA6C38B" w:rsidR="00836547" w:rsidRPr="009F2248" w:rsidRDefault="2B720FAC"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 xml:space="preserve">The establishment of the CSEESL network was closely connected with the CLAYSS support program in Central and Eastern Europe, implemented in the period from 2016 to 2022, which included: 1)Training and development of learning resources; 2) Technical assistance and institutional support plans; 3) Publications adapted to the region and new ones, translated into local languages by local organisations in some cases; 4) Network working meetings; 5) International Service-Learning Conference and the International Service-Learning Week; 6) Regional Service-Learning Conference &amp; Service-Learning Week; 7) Award for Service-Learning Experiences; 8) </w:t>
      </w:r>
      <w:proofErr w:type="spellStart"/>
      <w:r w:rsidRPr="0FC6D2D6">
        <w:rPr>
          <w:rFonts w:ascii="Verdana" w:eastAsia="Times New Roman" w:hAnsi="Verdana" w:cs="Times New Roman"/>
        </w:rPr>
        <w:t>Systematisation</w:t>
      </w:r>
      <w:proofErr w:type="spellEnd"/>
      <w:r w:rsidRPr="0FC6D2D6">
        <w:rPr>
          <w:rFonts w:ascii="Verdana" w:eastAsia="Times New Roman" w:hAnsi="Verdana" w:cs="Times New Roman"/>
        </w:rPr>
        <w:t xml:space="preserve"> and Communication of Service-Learning Experiences; 9) Training of trainers and promoters. (</w:t>
      </w:r>
      <w:proofErr w:type="spellStart"/>
      <w:r w:rsidRPr="0FC6D2D6">
        <w:rPr>
          <w:rFonts w:ascii="Verdana" w:eastAsia="Times New Roman" w:hAnsi="Verdana" w:cs="Times New Roman"/>
        </w:rPr>
        <w:t>Avruj</w:t>
      </w:r>
      <w:proofErr w:type="spellEnd"/>
      <w:r w:rsidRPr="0FC6D2D6">
        <w:rPr>
          <w:rFonts w:ascii="Verdana" w:eastAsia="Times New Roman" w:hAnsi="Verdana" w:cs="Times New Roman"/>
        </w:rPr>
        <w:t xml:space="preserve"> &amp; Batista, 2022)  </w:t>
      </w:r>
    </w:p>
    <w:p w14:paraId="7E34184C" w14:textId="48F96B08" w:rsidR="00836547" w:rsidRPr="009F2248" w:rsidRDefault="2B720FAC" w:rsidP="0FC6D2D6">
      <w:pPr>
        <w:spacing w:after="240" w:line="276" w:lineRule="auto"/>
        <w:jc w:val="both"/>
      </w:pPr>
      <w:r w:rsidRPr="0FC6D2D6">
        <w:rPr>
          <w:rFonts w:ascii="Verdana" w:eastAsia="Times New Roman" w:hAnsi="Verdana" w:cs="Times New Roman"/>
        </w:rPr>
        <w:lastRenderedPageBreak/>
        <w:t xml:space="preserve">CLAYSS initiated the CEE program by integrating the participation of Network partners across its five initial components. Collaborating around shared objectives propelled the Network forward, enhancing the relevance of service-learning in the region and the effectiveness of the implemented actions. At the end of 2022, the most active members of the Network convened to evaluate their achievements and develop the CSEE Network's statute, including its vision and strategic objectives. The members then formally adopted the network's statute at the start of 2023. The Statute of the Network aims to provide a sound basis for its sustainability and future growth - by consolidating lessons learnt, reflecting a sensible balance between ambition and practicality for the Network, and ensuring greater efficiency, clarity and equity between partners in their joint efforts. </w:t>
      </w:r>
    </w:p>
    <w:p w14:paraId="2672279F" w14:textId="277DD3F5" w:rsidR="00836547" w:rsidRPr="009F2248" w:rsidRDefault="2B720FAC" w:rsidP="0FC6D2D6">
      <w:pPr>
        <w:spacing w:after="240" w:line="276" w:lineRule="auto"/>
        <w:jc w:val="both"/>
      </w:pPr>
      <w:r w:rsidRPr="0FC6D2D6">
        <w:rPr>
          <w:rFonts w:ascii="Verdana" w:eastAsia="Times New Roman" w:hAnsi="Verdana" w:cs="Times New Roman"/>
        </w:rPr>
        <w:t xml:space="preserve">The network's current members are Mary Ward Loreto Foundation (Albania), </w:t>
      </w:r>
      <w:proofErr w:type="spellStart"/>
      <w:r w:rsidRPr="0FC6D2D6">
        <w:rPr>
          <w:rFonts w:ascii="Verdana" w:eastAsia="Times New Roman" w:hAnsi="Verdana" w:cs="Times New Roman"/>
        </w:rPr>
        <w:t>Međunarodno</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udruženje</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Interaktivne</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otvorene</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škole</w:t>
      </w:r>
      <w:proofErr w:type="spellEnd"/>
      <w:r w:rsidRPr="0FC6D2D6">
        <w:rPr>
          <w:rFonts w:ascii="Verdana" w:eastAsia="Times New Roman" w:hAnsi="Verdana" w:cs="Times New Roman"/>
        </w:rPr>
        <w:t xml:space="preserve"> MIOS (Bosnia and Herzegovina), TOKA</w:t>
      </w:r>
      <w:r w:rsidR="00C03084">
        <w:rPr>
          <w:rFonts w:ascii="Verdana" w:eastAsia="Times New Roman" w:hAnsi="Verdana" w:cs="Times New Roman"/>
        </w:rPr>
        <w:t xml:space="preserve"> </w:t>
      </w:r>
      <w:proofErr w:type="spellStart"/>
      <w:r w:rsidRPr="0FC6D2D6">
        <w:rPr>
          <w:rFonts w:ascii="Verdana" w:eastAsia="Times New Roman" w:hAnsi="Verdana" w:cs="Times New Roman"/>
        </w:rPr>
        <w:t>Organizata</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Kosovare</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për</w:t>
      </w:r>
      <w:proofErr w:type="spellEnd"/>
      <w:r w:rsidRPr="0FC6D2D6">
        <w:rPr>
          <w:rFonts w:ascii="Verdana" w:eastAsia="Times New Roman" w:hAnsi="Verdana" w:cs="Times New Roman"/>
        </w:rPr>
        <w:t xml:space="preserve"> Talent </w:t>
      </w:r>
      <w:proofErr w:type="spellStart"/>
      <w:r w:rsidRPr="0FC6D2D6">
        <w:rPr>
          <w:rFonts w:ascii="Verdana" w:eastAsia="Times New Roman" w:hAnsi="Verdana" w:cs="Times New Roman"/>
        </w:rPr>
        <w:t>dhe</w:t>
      </w:r>
      <w:proofErr w:type="spellEnd"/>
      <w:r w:rsidRPr="0FC6D2D6">
        <w:rPr>
          <w:rFonts w:ascii="Verdana" w:eastAsia="Times New Roman" w:hAnsi="Verdana" w:cs="Times New Roman"/>
        </w:rPr>
        <w:t xml:space="preserve"> </w:t>
      </w:r>
      <w:proofErr w:type="spellStart"/>
      <w:r w:rsidRPr="0FC6D2D6">
        <w:rPr>
          <w:rFonts w:ascii="Verdana" w:eastAsia="Times New Roman" w:hAnsi="Verdana" w:cs="Times New Roman"/>
        </w:rPr>
        <w:t>Arsim</w:t>
      </w:r>
      <w:proofErr w:type="spellEnd"/>
      <w:r w:rsidRPr="0FC6D2D6">
        <w:rPr>
          <w:rFonts w:ascii="Verdana" w:eastAsia="Times New Roman" w:hAnsi="Verdana" w:cs="Times New Roman"/>
        </w:rPr>
        <w:t xml:space="preserve"> (Kosovo), Forum MNE (Montenegro), </w:t>
      </w:r>
      <w:proofErr w:type="spellStart"/>
      <w:r w:rsidRPr="0FC6D2D6">
        <w:rPr>
          <w:rFonts w:ascii="Verdana" w:eastAsia="Times New Roman" w:hAnsi="Verdana" w:cs="Times New Roman"/>
        </w:rPr>
        <w:t>Fundatia</w:t>
      </w:r>
      <w:proofErr w:type="spellEnd"/>
      <w:r w:rsidRPr="0FC6D2D6">
        <w:rPr>
          <w:rFonts w:ascii="Verdana" w:eastAsia="Times New Roman" w:hAnsi="Verdana" w:cs="Times New Roman"/>
        </w:rPr>
        <w:t xml:space="preserve"> Noi </w:t>
      </w:r>
      <w:proofErr w:type="spellStart"/>
      <w:r w:rsidRPr="0FC6D2D6">
        <w:rPr>
          <w:rFonts w:ascii="Verdana" w:eastAsia="Times New Roman" w:hAnsi="Verdana" w:cs="Times New Roman"/>
        </w:rPr>
        <w:t>Orizonturi</w:t>
      </w:r>
      <w:proofErr w:type="spellEnd"/>
      <w:r w:rsidRPr="0FC6D2D6">
        <w:rPr>
          <w:rFonts w:ascii="Verdana" w:eastAsia="Times New Roman" w:hAnsi="Verdana" w:cs="Times New Roman"/>
        </w:rPr>
        <w:t xml:space="preserve"> (Romania),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(Romania), and Platform of Volunteer Centers and Organizations (Slovakia). </w:t>
      </w:r>
    </w:p>
    <w:p w14:paraId="3F09858F" w14:textId="02632EF0" w:rsidR="00836547" w:rsidRPr="009F2248" w:rsidRDefault="2B720FAC" w:rsidP="0FC6D2D6">
      <w:pPr>
        <w:spacing w:after="240" w:line="276" w:lineRule="auto"/>
        <w:jc w:val="both"/>
      </w:pPr>
      <w:r w:rsidRPr="0FC6D2D6">
        <w:rPr>
          <w:rFonts w:ascii="Verdana" w:eastAsia="Times New Roman" w:hAnsi="Verdana" w:cs="Times New Roman"/>
        </w:rPr>
        <w:t>The CSEE Network established an independent cooperative structure that allowed individuals and organisations to collaborate safely and non-hierarchically. Its focus on committed, trust-based relationships was vital to overcoming conflict situations. (</w:t>
      </w:r>
      <w:proofErr w:type="spellStart"/>
      <w:r w:rsidRPr="0FC6D2D6">
        <w:rPr>
          <w:rFonts w:ascii="Verdana" w:eastAsia="Times New Roman" w:hAnsi="Verdana" w:cs="Times New Roman"/>
        </w:rPr>
        <w:t>Avruj</w:t>
      </w:r>
      <w:proofErr w:type="spellEnd"/>
      <w:r w:rsidRPr="0FC6D2D6">
        <w:rPr>
          <w:rFonts w:ascii="Verdana" w:eastAsia="Times New Roman" w:hAnsi="Verdana" w:cs="Times New Roman"/>
        </w:rPr>
        <w:t xml:space="preserve"> &amp; Batista, 2022)</w:t>
      </w:r>
      <w:r w:rsidR="00C03084">
        <w:rPr>
          <w:rFonts w:ascii="Verdana" w:eastAsia="Times New Roman" w:hAnsi="Verdana" w:cs="Times New Roman"/>
        </w:rPr>
        <w:t>.</w:t>
      </w:r>
    </w:p>
    <w:p w14:paraId="375850AC" w14:textId="7DE46905" w:rsidR="00836547" w:rsidRPr="009F2248" w:rsidRDefault="2B720FAC" w:rsidP="0FC6D2D6">
      <w:pPr>
        <w:spacing w:after="240" w:line="276" w:lineRule="auto"/>
        <w:jc w:val="both"/>
      </w:pPr>
      <w:r w:rsidRPr="0FC6D2D6">
        <w:rPr>
          <w:rFonts w:ascii="Verdana" w:eastAsia="Times New Roman" w:hAnsi="Verdana" w:cs="Times New Roman"/>
        </w:rPr>
        <w:t xml:space="preserve">Main network activities with the generous support of CLAYSS from 2016 to 2022 </w:t>
      </w:r>
      <w:proofErr w:type="gramStart"/>
      <w:r w:rsidRPr="0FC6D2D6">
        <w:rPr>
          <w:rFonts w:ascii="Verdana" w:eastAsia="Times New Roman" w:hAnsi="Verdana" w:cs="Times New Roman"/>
        </w:rPr>
        <w:t>and also</w:t>
      </w:r>
      <w:proofErr w:type="gramEnd"/>
      <w:r w:rsidRPr="0FC6D2D6">
        <w:rPr>
          <w:rFonts w:ascii="Verdana" w:eastAsia="Times New Roman" w:hAnsi="Verdana" w:cs="Times New Roman"/>
        </w:rPr>
        <w:t xml:space="preserve"> supported from other, primarily European sources included:</w:t>
      </w:r>
    </w:p>
    <w:p w14:paraId="35C7225F" w14:textId="77777777" w:rsidR="00C03084" w:rsidRDefault="2B720FAC" w:rsidP="0FC6D2D6">
      <w:pPr>
        <w:pStyle w:val="ListParagraph"/>
        <w:numPr>
          <w:ilvl w:val="0"/>
          <w:numId w:val="3"/>
        </w:numPr>
        <w:spacing w:after="240" w:line="276" w:lineRule="auto"/>
        <w:jc w:val="both"/>
      </w:pPr>
      <w:proofErr w:type="spellStart"/>
      <w:r w:rsidRPr="00C03084">
        <w:rPr>
          <w:rFonts w:ascii="Verdana" w:eastAsia="Times New Roman" w:hAnsi="Verdana" w:cs="Times New Roman"/>
        </w:rPr>
        <w:t>Organising</w:t>
      </w:r>
      <w:proofErr w:type="spellEnd"/>
      <w:r w:rsidRPr="00C03084">
        <w:rPr>
          <w:rFonts w:ascii="Verdana" w:eastAsia="Times New Roman" w:hAnsi="Verdana" w:cs="Times New Roman"/>
        </w:rPr>
        <w:t xml:space="preserve"> Service-Learning Weeks and Conferences</w:t>
      </w:r>
      <w:r w:rsidR="00C03084">
        <w:rPr>
          <w:rFonts w:ascii="Verdana" w:eastAsia="Times New Roman" w:hAnsi="Verdana" w:cs="Times New Roman"/>
        </w:rPr>
        <w:t xml:space="preserve">. </w:t>
      </w:r>
      <w:r w:rsidRPr="00C03084">
        <w:rPr>
          <w:rFonts w:ascii="Verdana" w:eastAsia="Times New Roman" w:hAnsi="Verdana" w:cs="Times New Roman"/>
        </w:rPr>
        <w:t xml:space="preserve">The Service-Learning Weeks (2017 and 2022 in Bosnia and Herzegovina, 2019 in Romania, 2020 in Slovakia, and 2021 in Kosovo) were an opportunity for teachers, youth workers, NGO and public institution representatives, and researchers to gather and share knowledge, insights, and successful service-learning practices from the schools, and youth organisations in the region of Central and Eastern Europe. Also, during these events, the winners of the Regional Service-Learning Award were promoted and celebrated. The central events of the Service-Learning Weeks were international conferences accompanied by other gatherings like webinars of students, training for trainers or teachers, round tables, service-learning fairs, and meetings of representatives from the CSEE Network for Service-Learning. </w:t>
      </w:r>
    </w:p>
    <w:p w14:paraId="3DFD363C" w14:textId="77777777" w:rsidR="00C03084" w:rsidRPr="00C03084" w:rsidRDefault="2B720FAC" w:rsidP="0FC6D2D6">
      <w:pPr>
        <w:pStyle w:val="ListParagraph"/>
        <w:numPr>
          <w:ilvl w:val="0"/>
          <w:numId w:val="3"/>
        </w:numPr>
        <w:spacing w:after="240" w:line="276" w:lineRule="auto"/>
        <w:jc w:val="both"/>
      </w:pPr>
      <w:r w:rsidRPr="00C03084">
        <w:rPr>
          <w:rFonts w:ascii="Verdana" w:eastAsia="Times New Roman" w:hAnsi="Verdana" w:cs="Times New Roman"/>
        </w:rPr>
        <w:t>Development of resources in service-learning</w:t>
      </w:r>
      <w:r w:rsidR="00C03084">
        <w:rPr>
          <w:rFonts w:ascii="Verdana" w:eastAsia="Times New Roman" w:hAnsi="Verdana" w:cs="Times New Roman"/>
        </w:rPr>
        <w:t xml:space="preserve">. </w:t>
      </w:r>
      <w:r w:rsidRPr="00C03084">
        <w:rPr>
          <w:rFonts w:ascii="Verdana" w:eastAsia="Times New Roman" w:hAnsi="Verdana" w:cs="Times New Roman"/>
        </w:rPr>
        <w:t>During this period, the Network developed rich resources for further disseminating and promoting service-learning pedagogy in the region. Members developed handbooks, research, service-learning practice cases, manuals, and other documentation that supports the development and further dissemination.</w:t>
      </w:r>
    </w:p>
    <w:p w14:paraId="560FEDB7" w14:textId="2088D3EE" w:rsidR="00C03084" w:rsidRPr="00C03084" w:rsidRDefault="2B720FAC" w:rsidP="0FC6D2D6">
      <w:pPr>
        <w:pStyle w:val="ListParagraph"/>
        <w:numPr>
          <w:ilvl w:val="0"/>
          <w:numId w:val="3"/>
        </w:numPr>
        <w:spacing w:after="240" w:line="276" w:lineRule="auto"/>
        <w:jc w:val="both"/>
      </w:pPr>
      <w:r w:rsidRPr="00C03084">
        <w:rPr>
          <w:rFonts w:ascii="Verdana" w:eastAsia="Times New Roman" w:hAnsi="Verdana" w:cs="Times New Roman"/>
        </w:rPr>
        <w:lastRenderedPageBreak/>
        <w:t>Training in service-learning</w:t>
      </w:r>
      <w:r w:rsidR="00C03084">
        <w:rPr>
          <w:rFonts w:ascii="Verdana" w:eastAsia="Times New Roman" w:hAnsi="Verdana" w:cs="Times New Roman"/>
        </w:rPr>
        <w:t xml:space="preserve">. </w:t>
      </w:r>
      <w:r w:rsidRPr="00C03084">
        <w:rPr>
          <w:rFonts w:ascii="Verdana" w:eastAsia="Times New Roman" w:hAnsi="Verdana" w:cs="Times New Roman"/>
        </w:rPr>
        <w:t xml:space="preserve">Capacity building for disseminating service-learning pedagogy in the region and at home countries was crucial support. Some members were at the beginning of promotion and introducing the service-learning methodology within their home countries, some have had substantial experience over seven or more years. A balanced approach of mutual sharing and support (training, consultancy) and networking between the members and beneficiaries took place on multiple occasions, and members, with the support of CLAYSS, delivered these events to further disseminate the know-how in schools, youth organisations, communities within the home countries. The aim was to create a pool of trainers who could deliver training for teachers and youth workers in the area. Later, Network members </w:t>
      </w:r>
      <w:proofErr w:type="spellStart"/>
      <w:r w:rsidRPr="00C03084">
        <w:rPr>
          <w:rFonts w:ascii="Verdana" w:eastAsia="Times New Roman" w:hAnsi="Verdana" w:cs="Times New Roman"/>
        </w:rPr>
        <w:t>organised</w:t>
      </w:r>
      <w:proofErr w:type="spellEnd"/>
      <w:r w:rsidRPr="00C03084">
        <w:rPr>
          <w:rFonts w:ascii="Verdana" w:eastAsia="Times New Roman" w:hAnsi="Verdana" w:cs="Times New Roman"/>
        </w:rPr>
        <w:t xml:space="preserve"> training for educators in formal and nonformal education in their home countries. Training was also </w:t>
      </w:r>
      <w:proofErr w:type="spellStart"/>
      <w:r w:rsidRPr="00C03084">
        <w:rPr>
          <w:rFonts w:ascii="Verdana" w:eastAsia="Times New Roman" w:hAnsi="Verdana" w:cs="Times New Roman"/>
        </w:rPr>
        <w:t>organised</w:t>
      </w:r>
      <w:proofErr w:type="spellEnd"/>
      <w:r w:rsidRPr="00C03084">
        <w:rPr>
          <w:rFonts w:ascii="Verdana" w:eastAsia="Times New Roman" w:hAnsi="Verdana" w:cs="Times New Roman"/>
        </w:rPr>
        <w:t xml:space="preserve"> for the evaluators of the </w:t>
      </w:r>
      <w:proofErr w:type="gramStart"/>
      <w:r w:rsidRPr="00C03084">
        <w:rPr>
          <w:rFonts w:ascii="Verdana" w:eastAsia="Times New Roman" w:hAnsi="Verdana" w:cs="Times New Roman"/>
        </w:rPr>
        <w:t>Regional</w:t>
      </w:r>
      <w:proofErr w:type="gramEnd"/>
      <w:r w:rsidRPr="00C03084">
        <w:rPr>
          <w:rFonts w:ascii="Verdana" w:eastAsia="Times New Roman" w:hAnsi="Verdana" w:cs="Times New Roman"/>
        </w:rPr>
        <w:t xml:space="preserve"> service-learning award with the support of CLAYSS.</w:t>
      </w:r>
    </w:p>
    <w:p w14:paraId="2FE1A5B6" w14:textId="77777777" w:rsidR="00C03084" w:rsidRPr="00C03084" w:rsidRDefault="2B720FAC" w:rsidP="0FC6D2D6">
      <w:pPr>
        <w:pStyle w:val="ListParagraph"/>
        <w:numPr>
          <w:ilvl w:val="0"/>
          <w:numId w:val="3"/>
        </w:numPr>
        <w:spacing w:after="240" w:line="276" w:lineRule="auto"/>
        <w:jc w:val="both"/>
      </w:pPr>
      <w:r w:rsidRPr="00C03084">
        <w:rPr>
          <w:rFonts w:ascii="Verdana" w:eastAsia="Times New Roman" w:hAnsi="Verdana" w:cs="Times New Roman"/>
        </w:rPr>
        <w:t>The Regional Service-Learning Award</w:t>
      </w:r>
      <w:r w:rsidR="00C03084">
        <w:rPr>
          <w:rFonts w:ascii="Verdana" w:eastAsia="Times New Roman" w:hAnsi="Verdana" w:cs="Times New Roman"/>
        </w:rPr>
        <w:t xml:space="preserve">. </w:t>
      </w:r>
      <w:r w:rsidRPr="00C03084">
        <w:rPr>
          <w:rFonts w:ascii="Verdana" w:eastAsia="Times New Roman" w:hAnsi="Verdana" w:cs="Times New Roman"/>
        </w:rPr>
        <w:t xml:space="preserve">The Regional Service-Learning Award </w:t>
      </w:r>
      <w:proofErr w:type="spellStart"/>
      <w:r w:rsidRPr="00C03084">
        <w:rPr>
          <w:rFonts w:ascii="Verdana" w:eastAsia="Times New Roman" w:hAnsi="Verdana" w:cs="Times New Roman"/>
        </w:rPr>
        <w:t>recognises</w:t>
      </w:r>
      <w:proofErr w:type="spellEnd"/>
      <w:r w:rsidRPr="00C03084">
        <w:rPr>
          <w:rFonts w:ascii="Verdana" w:eastAsia="Times New Roman" w:hAnsi="Verdana" w:cs="Times New Roman"/>
        </w:rPr>
        <w:t xml:space="preserve"> outstanding achievements in service-learning pedagogy within the CSEE region. It was established in 2020 as a collective effort to highlight and celebrate the impactful contributions of individuals, organisations, and projects in service-learning. The primary aim of the Regional Service-Learning Award is to </w:t>
      </w:r>
      <w:proofErr w:type="spellStart"/>
      <w:r w:rsidRPr="00C03084">
        <w:rPr>
          <w:rFonts w:ascii="Verdana" w:eastAsia="Times New Roman" w:hAnsi="Verdana" w:cs="Times New Roman"/>
        </w:rPr>
        <w:t>recognise</w:t>
      </w:r>
      <w:proofErr w:type="spellEnd"/>
      <w:r w:rsidRPr="00C03084">
        <w:rPr>
          <w:rFonts w:ascii="Verdana" w:eastAsia="Times New Roman" w:hAnsi="Verdana" w:cs="Times New Roman"/>
        </w:rPr>
        <w:t xml:space="preserve"> and </w:t>
      </w:r>
      <w:proofErr w:type="spellStart"/>
      <w:r w:rsidRPr="00C03084">
        <w:rPr>
          <w:rFonts w:ascii="Verdana" w:eastAsia="Times New Roman" w:hAnsi="Verdana" w:cs="Times New Roman"/>
        </w:rPr>
        <w:t>honour</w:t>
      </w:r>
      <w:proofErr w:type="spellEnd"/>
      <w:r w:rsidRPr="00C03084">
        <w:rPr>
          <w:rFonts w:ascii="Verdana" w:eastAsia="Times New Roman" w:hAnsi="Verdana" w:cs="Times New Roman"/>
        </w:rPr>
        <w:t xml:space="preserve"> exemplary service-learning initiatives that demonstrate innovation, effectiveness, and meaningful impact on individuals and communities within the Central and </w:t>
      </w:r>
      <w:proofErr w:type="gramStart"/>
      <w:r w:rsidRPr="00C03084">
        <w:rPr>
          <w:rFonts w:ascii="Verdana" w:eastAsia="Times New Roman" w:hAnsi="Verdana" w:cs="Times New Roman"/>
        </w:rPr>
        <w:t>South Eastern</w:t>
      </w:r>
      <w:proofErr w:type="gramEnd"/>
      <w:r w:rsidRPr="00C03084">
        <w:rPr>
          <w:rFonts w:ascii="Verdana" w:eastAsia="Times New Roman" w:hAnsi="Verdana" w:cs="Times New Roman"/>
        </w:rPr>
        <w:t xml:space="preserve"> European context3.</w:t>
      </w:r>
    </w:p>
    <w:p w14:paraId="6825EB9F" w14:textId="77777777" w:rsidR="00C03084" w:rsidRPr="00C03084" w:rsidRDefault="2B720FAC" w:rsidP="0FC6D2D6">
      <w:pPr>
        <w:pStyle w:val="ListParagraph"/>
        <w:numPr>
          <w:ilvl w:val="0"/>
          <w:numId w:val="3"/>
        </w:numPr>
        <w:spacing w:after="240" w:line="276" w:lineRule="auto"/>
        <w:jc w:val="both"/>
      </w:pPr>
      <w:r w:rsidRPr="00C03084">
        <w:rPr>
          <w:rFonts w:ascii="Verdana" w:eastAsia="Times New Roman" w:hAnsi="Verdana" w:cs="Times New Roman"/>
        </w:rPr>
        <w:t>Joint projects to support service-learning development</w:t>
      </w:r>
      <w:r w:rsidR="00C03084">
        <w:rPr>
          <w:rFonts w:ascii="Verdana" w:eastAsia="Times New Roman" w:hAnsi="Verdana" w:cs="Times New Roman"/>
        </w:rPr>
        <w:t xml:space="preserve">. </w:t>
      </w:r>
      <w:r w:rsidRPr="00C03084">
        <w:rPr>
          <w:rFonts w:ascii="Verdana" w:eastAsia="Times New Roman" w:hAnsi="Verdana" w:cs="Times New Roman"/>
        </w:rPr>
        <w:t xml:space="preserve">Network members have delivered several regional projects that support the network's mission. These projects have ensured more vital visibility of service-learning pedagogy in the region, strategic solid partnerships among the Network’s partners, and </w:t>
      </w:r>
      <w:proofErr w:type="spellStart"/>
      <w:r w:rsidRPr="00C03084">
        <w:rPr>
          <w:rFonts w:ascii="Verdana" w:eastAsia="Times New Roman" w:hAnsi="Verdana" w:cs="Times New Roman"/>
        </w:rPr>
        <w:t>institutionalisation</w:t>
      </w:r>
      <w:proofErr w:type="spellEnd"/>
      <w:r w:rsidRPr="00C03084">
        <w:rPr>
          <w:rFonts w:ascii="Verdana" w:eastAsia="Times New Roman" w:hAnsi="Verdana" w:cs="Times New Roman"/>
        </w:rPr>
        <w:t xml:space="preserve"> of service-learning within the educational ecosystem of each involved country.</w:t>
      </w:r>
    </w:p>
    <w:p w14:paraId="2D9BAF58" w14:textId="7968B2DF" w:rsidR="00836547" w:rsidRPr="009F2248" w:rsidRDefault="2B720FAC" w:rsidP="0FC6D2D6">
      <w:pPr>
        <w:pStyle w:val="ListParagraph"/>
        <w:numPr>
          <w:ilvl w:val="0"/>
          <w:numId w:val="3"/>
        </w:numPr>
        <w:spacing w:after="240" w:line="276" w:lineRule="auto"/>
        <w:jc w:val="both"/>
      </w:pPr>
      <w:r w:rsidRPr="00C03084">
        <w:rPr>
          <w:rFonts w:ascii="Verdana" w:eastAsia="Times New Roman" w:hAnsi="Verdana" w:cs="Times New Roman"/>
        </w:rPr>
        <w:t>Advocacy for service-learning development and promotion</w:t>
      </w:r>
      <w:r w:rsidR="00C03084">
        <w:rPr>
          <w:rFonts w:ascii="Verdana" w:eastAsia="Times New Roman" w:hAnsi="Verdana" w:cs="Times New Roman"/>
        </w:rPr>
        <w:t xml:space="preserve">. </w:t>
      </w:r>
      <w:r w:rsidRPr="00C03084">
        <w:rPr>
          <w:rFonts w:ascii="Verdana" w:eastAsia="Times New Roman" w:hAnsi="Verdana" w:cs="Times New Roman"/>
        </w:rPr>
        <w:t xml:space="preserve">The activities mentioned and their implementation are also closely connected with promoting service-learning pedagogy in the region and creating the environment that will enable the development of this community-engaged learning approach. For example, in Slovakia, service-learning was incorporated in official documents of the Ministry of Education focused on the education of children and youth for volunteering, and service-learning support is also part of the Youth Strategy.  </w:t>
      </w:r>
    </w:p>
    <w:p w14:paraId="7E25FF8F" w14:textId="743FBEC3" w:rsidR="00836547" w:rsidRPr="009F2248" w:rsidRDefault="2B720FAC" w:rsidP="0FC6D2D6">
      <w:pPr>
        <w:spacing w:after="240" w:line="276" w:lineRule="auto"/>
        <w:jc w:val="both"/>
      </w:pPr>
      <w:r w:rsidRPr="0FC6D2D6">
        <w:rPr>
          <w:rFonts w:ascii="Verdana" w:eastAsia="Times New Roman" w:hAnsi="Verdana" w:cs="Times New Roman"/>
        </w:rPr>
        <w:t xml:space="preserve">The CSEE Network for Service-Learning has made significant strides in advancing the field. It has facilitated cross-border knowledge exchange, developed training programs, supported service-learning establishment in educational institutions and organisations, and advocated for policy changes to </w:t>
      </w:r>
      <w:proofErr w:type="spellStart"/>
      <w:r w:rsidRPr="0FC6D2D6">
        <w:rPr>
          <w:rFonts w:ascii="Verdana" w:eastAsia="Times New Roman" w:hAnsi="Verdana" w:cs="Times New Roman"/>
        </w:rPr>
        <w:t>institutionalise</w:t>
      </w:r>
      <w:proofErr w:type="spellEnd"/>
      <w:r w:rsidRPr="0FC6D2D6">
        <w:rPr>
          <w:rFonts w:ascii="Verdana" w:eastAsia="Times New Roman" w:hAnsi="Verdana" w:cs="Times New Roman"/>
        </w:rPr>
        <w:t xml:space="preserve"> service-learning across the region.</w:t>
      </w:r>
    </w:p>
    <w:p w14:paraId="4D386DE0" w14:textId="5F90B4F9" w:rsidR="00836547" w:rsidRPr="00C03084" w:rsidRDefault="00C03084" w:rsidP="0FC6D2D6">
      <w:pPr>
        <w:spacing w:after="240" w:line="276" w:lineRule="auto"/>
        <w:jc w:val="both"/>
        <w:rPr>
          <w:b/>
          <w:bCs/>
        </w:rPr>
      </w:pPr>
      <w:r w:rsidRPr="00C03084">
        <w:rPr>
          <w:rFonts w:ascii="Verdana" w:eastAsia="Times New Roman" w:hAnsi="Verdana" w:cs="Times New Roman"/>
          <w:b/>
          <w:bCs/>
        </w:rPr>
        <w:t xml:space="preserve">3. </w:t>
      </w:r>
      <w:r w:rsidR="2B720FAC" w:rsidRPr="00C03084">
        <w:rPr>
          <w:rFonts w:ascii="Verdana" w:eastAsia="Times New Roman" w:hAnsi="Verdana" w:cs="Times New Roman"/>
          <w:b/>
          <w:bCs/>
        </w:rPr>
        <w:t xml:space="preserve">Impact of the CSEE Network for Service-learning  </w:t>
      </w:r>
    </w:p>
    <w:p w14:paraId="4CF24C2C" w14:textId="748CCB02" w:rsidR="00836547" w:rsidRPr="009F2248" w:rsidRDefault="2B720FAC" w:rsidP="0FC6D2D6">
      <w:pPr>
        <w:spacing w:after="240" w:line="276" w:lineRule="auto"/>
        <w:jc w:val="both"/>
      </w:pPr>
      <w:r w:rsidRPr="0FC6D2D6">
        <w:rPr>
          <w:rFonts w:ascii="Verdana" w:eastAsia="Times New Roman" w:hAnsi="Verdana" w:cs="Times New Roman"/>
        </w:rPr>
        <w:lastRenderedPageBreak/>
        <w:t xml:space="preserve">The impact of the Network's activities can be observed at various levels. During the preparation of this paper, the selected Network members were asked to reflect on the impact of the presented activities and joint initiatives and the benefits of being part of the Network, both for their organisations and the advancement of service-learning pedagogy in the region. We are </w:t>
      </w:r>
      <w:proofErr w:type="spellStart"/>
      <w:r w:rsidRPr="0FC6D2D6">
        <w:rPr>
          <w:rFonts w:ascii="Verdana" w:eastAsia="Times New Roman" w:hAnsi="Verdana" w:cs="Times New Roman"/>
        </w:rPr>
        <w:t>summarising</w:t>
      </w:r>
      <w:proofErr w:type="spellEnd"/>
      <w:r w:rsidRPr="0FC6D2D6">
        <w:rPr>
          <w:rFonts w:ascii="Verdana" w:eastAsia="Times New Roman" w:hAnsi="Verdana" w:cs="Times New Roman"/>
        </w:rPr>
        <w:t xml:space="preserve"> their reflection.  </w:t>
      </w:r>
    </w:p>
    <w:p w14:paraId="6BD047F4" w14:textId="42953690" w:rsidR="00836547" w:rsidRPr="009F2248" w:rsidRDefault="00C03084" w:rsidP="0FC6D2D6">
      <w:pPr>
        <w:spacing w:after="240" w:line="276" w:lineRule="auto"/>
        <w:jc w:val="both"/>
      </w:pPr>
      <w:r>
        <w:rPr>
          <w:rFonts w:ascii="Verdana" w:eastAsia="Times New Roman" w:hAnsi="Verdana" w:cs="Times New Roman"/>
        </w:rPr>
        <w:t xml:space="preserve">3.1. </w:t>
      </w:r>
      <w:r w:rsidR="2B720FAC" w:rsidRPr="0FC6D2D6">
        <w:rPr>
          <w:rFonts w:ascii="Verdana" w:eastAsia="Times New Roman" w:hAnsi="Verdana" w:cs="Times New Roman"/>
        </w:rPr>
        <w:t xml:space="preserve">Reflected impact on individual and </w:t>
      </w:r>
      <w:proofErr w:type="spellStart"/>
      <w:r w:rsidR="2B720FAC" w:rsidRPr="0FC6D2D6">
        <w:rPr>
          <w:rFonts w:ascii="Verdana" w:eastAsia="Times New Roman" w:hAnsi="Verdana" w:cs="Times New Roman"/>
        </w:rPr>
        <w:t>organisational</w:t>
      </w:r>
      <w:proofErr w:type="spellEnd"/>
      <w:r w:rsidR="2B720FAC" w:rsidRPr="0FC6D2D6">
        <w:rPr>
          <w:rFonts w:ascii="Verdana" w:eastAsia="Times New Roman" w:hAnsi="Verdana" w:cs="Times New Roman"/>
        </w:rPr>
        <w:t xml:space="preserve"> level</w:t>
      </w:r>
    </w:p>
    <w:p w14:paraId="514F44AA" w14:textId="5ED8F544" w:rsidR="00836547" w:rsidRPr="009F2248" w:rsidRDefault="2B720FAC" w:rsidP="0FC6D2D6">
      <w:pPr>
        <w:spacing w:after="240" w:line="276" w:lineRule="auto"/>
        <w:jc w:val="both"/>
      </w:pPr>
      <w:r w:rsidRPr="0FC6D2D6">
        <w:rPr>
          <w:rFonts w:ascii="Verdana" w:eastAsia="Times New Roman" w:hAnsi="Verdana" w:cs="Times New Roman"/>
        </w:rPr>
        <w:t xml:space="preserve">Being part of the network has proven to be a transformative experience for its members, fostering individual growth and collective impact. For MIOS Tuzla, the network has amplified its visibility as a professional and theme-focused organisation. This increased recognition has been precious in positioning them as a leader in service-learning, a methodology they describe as both meaningful and practical in ensuring deep learning for students. The network has given them a platform to showcase their expertise and demonstrate how their methodology directly contributes to educational outcomes, reinforcing their role as a key player in promoting innovative teaching practices. </w:t>
      </w:r>
    </w:p>
    <w:p w14:paraId="076FAAB2" w14:textId="4DC86A15" w:rsidR="00836547" w:rsidRPr="009F2248" w:rsidRDefault="2B720FAC" w:rsidP="0FC6D2D6">
      <w:pPr>
        <w:spacing w:after="240" w:line="276" w:lineRule="auto"/>
        <w:jc w:val="both"/>
      </w:pPr>
      <w:r w:rsidRPr="0FC6D2D6">
        <w:rPr>
          <w:rFonts w:ascii="Verdana" w:eastAsia="Times New Roman" w:hAnsi="Verdana" w:cs="Times New Roman"/>
        </w:rPr>
        <w:t xml:space="preserve">However, the benefits of the network extend beyond individual recognition. MIOS Tuzla highlights how the network has been instrumental in establishing strong partnerships with other organisations with similar values and approaches. This collaboration fosters professional exchange and a unified approach to creating social change. By connecting with like-minded organisations in the region, MIOS Tuzla can influence change within their country and contribute to a more significant, collective effort for regional transformation. This underscores the dual benefit of the network: while members receive support and recognition, they are also empowered to be agents of broader societal impact. </w:t>
      </w:r>
    </w:p>
    <w:p w14:paraId="49F8A224" w14:textId="63B1C39E" w:rsidR="00836547" w:rsidRPr="009F2248" w:rsidRDefault="2B720FAC" w:rsidP="0FC6D2D6">
      <w:pPr>
        <w:spacing w:after="240" w:line="276" w:lineRule="auto"/>
        <w:jc w:val="both"/>
      </w:pPr>
      <w:r w:rsidRPr="0FC6D2D6">
        <w:rPr>
          <w:rFonts w:ascii="Verdana" w:eastAsia="Times New Roman" w:hAnsi="Verdana" w:cs="Times New Roman"/>
        </w:rPr>
        <w:t xml:space="preserve">The network serves as a conduit for learning and collaboration for TOKA and the Platform of Volunteer </w:t>
      </w:r>
      <w:r w:rsidR="00C03084" w:rsidRPr="0FC6D2D6">
        <w:rPr>
          <w:rFonts w:ascii="Verdana" w:eastAsia="Times New Roman" w:hAnsi="Verdana" w:cs="Times New Roman"/>
        </w:rPr>
        <w:t>centers</w:t>
      </w:r>
      <w:r w:rsidRPr="0FC6D2D6">
        <w:rPr>
          <w:rFonts w:ascii="Verdana" w:eastAsia="Times New Roman" w:hAnsi="Verdana" w:cs="Times New Roman"/>
        </w:rPr>
        <w:t xml:space="preserve"> and organisations. Being part of this community has given them access to a wealth of shared knowledge,</w:t>
      </w:r>
      <w:r w:rsidR="00C03084">
        <w:rPr>
          <w:rFonts w:ascii="Verdana" w:eastAsia="Times New Roman" w:hAnsi="Verdana" w:cs="Times New Roman"/>
        </w:rPr>
        <w:t xml:space="preserve"> </w:t>
      </w:r>
      <w:r w:rsidRPr="0FC6D2D6">
        <w:rPr>
          <w:rFonts w:ascii="Verdana" w:eastAsia="Times New Roman" w:hAnsi="Verdana" w:cs="Times New Roman"/>
        </w:rPr>
        <w:t xml:space="preserve">allowing them to benefit from other organisations' diverse experiences while sharing their insights. This exchange of knowledge is not only about enhancing internal practices but also about expanding visibility on a larger stage. The network has given TOKA a platform to promote its service-learning programs beyond their immediate context, fostering opportunities for collaboration with regional and international partners. The exposure gained through the network allows TOKA to establish itself as a critical contributor in the field while also benefiting from the collective wisdom of other members. </w:t>
      </w:r>
    </w:p>
    <w:p w14:paraId="341DBE30" w14:textId="6965FCD9" w:rsidR="00836547" w:rsidRPr="009F2248" w:rsidRDefault="2B720FAC" w:rsidP="0FC6D2D6">
      <w:pPr>
        <w:spacing w:after="240" w:line="276" w:lineRule="auto"/>
        <w:jc w:val="both"/>
      </w:pPr>
      <w:proofErr w:type="spellStart"/>
      <w:r w:rsidRPr="0FC6D2D6">
        <w:rPr>
          <w:rFonts w:ascii="Verdana" w:eastAsia="Times New Roman" w:hAnsi="Verdana" w:cs="Times New Roman"/>
        </w:rPr>
        <w:t>SeLeGRo's</w:t>
      </w:r>
      <w:proofErr w:type="spellEnd"/>
      <w:r w:rsidRPr="0FC6D2D6">
        <w:rPr>
          <w:rFonts w:ascii="Verdana" w:eastAsia="Times New Roman" w:hAnsi="Verdana" w:cs="Times New Roman"/>
        </w:rPr>
        <w:t xml:space="preserve"> experience highlights how the network can directly contribute to </w:t>
      </w:r>
      <w:proofErr w:type="spellStart"/>
      <w:r w:rsidRPr="0FC6D2D6">
        <w:rPr>
          <w:rFonts w:ascii="Verdana" w:eastAsia="Times New Roman" w:hAnsi="Verdana" w:cs="Times New Roman"/>
        </w:rPr>
        <w:t>organisational</w:t>
      </w:r>
      <w:proofErr w:type="spellEnd"/>
      <w:r w:rsidRPr="0FC6D2D6">
        <w:rPr>
          <w:rFonts w:ascii="Verdana" w:eastAsia="Times New Roman" w:hAnsi="Verdana" w:cs="Times New Roman"/>
        </w:rPr>
        <w:t xml:space="preserve"> growth and capacity-building. In their early days,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received encouragement and know-how from the network, which played a critical role in </w:t>
      </w:r>
      <w:r w:rsidRPr="0FC6D2D6">
        <w:rPr>
          <w:rFonts w:ascii="Verdana" w:eastAsia="Times New Roman" w:hAnsi="Verdana" w:cs="Times New Roman"/>
        </w:rPr>
        <w:lastRenderedPageBreak/>
        <w:t xml:space="preserve">shaping their foundation and guiding their implementation of service-learning.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contributed to and grew from the network as they became more involved, benefitting from shared best practices and resources. The collaborative efforts within the network, such as publishing digital papers and improving regional awards, have enhanced </w:t>
      </w:r>
      <w:proofErr w:type="spellStart"/>
      <w:r w:rsidRPr="0FC6D2D6">
        <w:rPr>
          <w:rFonts w:ascii="Verdana" w:eastAsia="Times New Roman" w:hAnsi="Verdana" w:cs="Times New Roman"/>
        </w:rPr>
        <w:t>SeLeGRo's</w:t>
      </w:r>
      <w:proofErr w:type="spellEnd"/>
      <w:r w:rsidRPr="0FC6D2D6">
        <w:rPr>
          <w:rFonts w:ascii="Verdana" w:eastAsia="Times New Roman" w:hAnsi="Verdana" w:cs="Times New Roman"/>
        </w:rPr>
        <w:t xml:space="preserve"> visibility and strengthened its impact. This shared learning process has allowed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to evolve as an organisation, improving the quality of its work and expanding its influence across the region. </w:t>
      </w:r>
    </w:p>
    <w:p w14:paraId="1C60CF7F" w14:textId="366F7E33" w:rsidR="00836547" w:rsidRPr="009F2248" w:rsidRDefault="2B720FAC" w:rsidP="0FC6D2D6">
      <w:pPr>
        <w:spacing w:after="240" w:line="276" w:lineRule="auto"/>
        <w:jc w:val="both"/>
      </w:pPr>
      <w:r w:rsidRPr="0FC6D2D6">
        <w:rPr>
          <w:rFonts w:ascii="Verdana" w:eastAsia="Times New Roman" w:hAnsi="Verdana" w:cs="Times New Roman"/>
        </w:rPr>
        <w:t xml:space="preserve">The New Horizons Foundation Romania has worked with service-learning in extra-curricular contexts since 2002 through the national and international educational program IMPACT Youth Clubs. However, for the New Horizons Foundation Romania, the Network managed to create essential contexts of collaboration between partners at the regional level in which each partner has the chance to bring added value to development at national and regional levels </w:t>
      </w:r>
      <w:proofErr w:type="gramStart"/>
      <w:r w:rsidRPr="0FC6D2D6">
        <w:rPr>
          <w:rFonts w:ascii="Verdana" w:eastAsia="Times New Roman" w:hAnsi="Verdana" w:cs="Times New Roman"/>
        </w:rPr>
        <w:t>and also</w:t>
      </w:r>
      <w:proofErr w:type="gramEnd"/>
      <w:r w:rsidRPr="0FC6D2D6">
        <w:rPr>
          <w:rFonts w:ascii="Verdana" w:eastAsia="Times New Roman" w:hAnsi="Verdana" w:cs="Times New Roman"/>
        </w:rPr>
        <w:t xml:space="preserve"> the chance to grow more extensive and more robust in its mission. How?</w:t>
      </w:r>
      <w:r w:rsidR="00C03084">
        <w:rPr>
          <w:rFonts w:ascii="Verdana" w:eastAsia="Times New Roman" w:hAnsi="Verdana" w:cs="Times New Roman"/>
        </w:rPr>
        <w:t xml:space="preserve"> </w:t>
      </w:r>
      <w:r w:rsidRPr="0FC6D2D6">
        <w:rPr>
          <w:rFonts w:ascii="Verdana" w:eastAsia="Times New Roman" w:hAnsi="Verdana" w:cs="Times New Roman"/>
        </w:rPr>
        <w:t xml:space="preserve">By developing joint projects where the communities we work with have realised the value of diversity, the benefits of collaboration and the advantages of bringing educational, human and financial resources together for a common purpose that ultimately leads to the region's overall development. While part of the network, the New Horizons Foundation has not only built on the standard know-how. Still, it has also gained insights, inspiration and resources to develop a stand-alone program called Service Learning in the Classroom specially designed for kindergarten to high school students. Also, at the national level, the New Horizons Foundation and the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are building contexts to grow the community of service-learning practitioners nationwide, primarily through the National Service-Learning Awards they have already </w:t>
      </w:r>
      <w:proofErr w:type="spellStart"/>
      <w:r w:rsidRPr="0FC6D2D6">
        <w:rPr>
          <w:rFonts w:ascii="Verdana" w:eastAsia="Times New Roman" w:hAnsi="Verdana" w:cs="Times New Roman"/>
        </w:rPr>
        <w:t>organised</w:t>
      </w:r>
      <w:proofErr w:type="spellEnd"/>
      <w:r w:rsidRPr="0FC6D2D6">
        <w:rPr>
          <w:rFonts w:ascii="Verdana" w:eastAsia="Times New Roman" w:hAnsi="Verdana" w:cs="Times New Roman"/>
        </w:rPr>
        <w:t xml:space="preserve"> annually. </w:t>
      </w:r>
    </w:p>
    <w:p w14:paraId="1E54DEDC" w14:textId="2A6E2731" w:rsidR="00836547" w:rsidRPr="009F2248" w:rsidRDefault="2B720FAC" w:rsidP="0FC6D2D6">
      <w:pPr>
        <w:spacing w:after="240" w:line="276" w:lineRule="auto"/>
        <w:jc w:val="both"/>
      </w:pPr>
      <w:r w:rsidRPr="0FC6D2D6">
        <w:rPr>
          <w:rFonts w:ascii="Verdana" w:eastAsia="Times New Roman" w:hAnsi="Verdana" w:cs="Times New Roman"/>
        </w:rPr>
        <w:t xml:space="preserve">Thanks to the Regional Service-Learning Award, the Platform of Voluntary </w:t>
      </w:r>
      <w:r w:rsidR="001B7967" w:rsidRPr="0FC6D2D6">
        <w:rPr>
          <w:rFonts w:ascii="Verdana" w:eastAsia="Times New Roman" w:hAnsi="Verdana" w:cs="Times New Roman"/>
        </w:rPr>
        <w:t>Centers</w:t>
      </w:r>
      <w:r w:rsidRPr="0FC6D2D6">
        <w:rPr>
          <w:rFonts w:ascii="Verdana" w:eastAsia="Times New Roman" w:hAnsi="Verdana" w:cs="Times New Roman"/>
        </w:rPr>
        <w:t xml:space="preserve"> and </w:t>
      </w:r>
      <w:proofErr w:type="spellStart"/>
      <w:r w:rsidRPr="0FC6D2D6">
        <w:rPr>
          <w:rFonts w:ascii="Verdana" w:eastAsia="Times New Roman" w:hAnsi="Verdana" w:cs="Times New Roman"/>
        </w:rPr>
        <w:t>Organisations</w:t>
      </w:r>
      <w:proofErr w:type="spellEnd"/>
      <w:r w:rsidRPr="0FC6D2D6">
        <w:rPr>
          <w:rFonts w:ascii="Verdana" w:eastAsia="Times New Roman" w:hAnsi="Verdana" w:cs="Times New Roman"/>
        </w:rPr>
        <w:t xml:space="preserve"> has started </w:t>
      </w:r>
      <w:proofErr w:type="spellStart"/>
      <w:r w:rsidRPr="0FC6D2D6">
        <w:rPr>
          <w:rFonts w:ascii="Verdana" w:eastAsia="Times New Roman" w:hAnsi="Verdana" w:cs="Times New Roman"/>
        </w:rPr>
        <w:t>organising</w:t>
      </w:r>
      <w:proofErr w:type="spellEnd"/>
      <w:r w:rsidRPr="0FC6D2D6">
        <w:rPr>
          <w:rFonts w:ascii="Verdana" w:eastAsia="Times New Roman" w:hAnsi="Verdana" w:cs="Times New Roman"/>
        </w:rPr>
        <w:t xml:space="preserve"> a national award for schools implementing service-learning, Engaged Schools. It has also significantly strengthened its partnership with the Ministry of Education in service-learning development.</w:t>
      </w:r>
    </w:p>
    <w:p w14:paraId="2F0983FD" w14:textId="18EBAA67" w:rsidR="00836547" w:rsidRPr="009F2248" w:rsidRDefault="2B720FAC" w:rsidP="0FC6D2D6">
      <w:pPr>
        <w:spacing w:after="240" w:line="276" w:lineRule="auto"/>
        <w:jc w:val="both"/>
      </w:pPr>
      <w:r w:rsidRPr="0FC6D2D6">
        <w:rPr>
          <w:rFonts w:ascii="Verdana" w:eastAsia="Times New Roman" w:hAnsi="Verdana" w:cs="Times New Roman"/>
        </w:rPr>
        <w:t>What stands out in all these experiences is the network’s ability to act as a platform for collective learning, resource sharing, and mutual support. By connecting organisations with similar values and goals, the network fosters an environment where members can learn from each other, share their successes and challenges, and collectively enhance their impact. It is through this collaborative spirit that the network not only benefits its members but also drives broader social change. As a part of the Network, each organisation becomes more substantial and more effective through its participation in the network, underscoring the value of working together to achieve common goals. The diversity of perspectives within the network is precious, as it brings together different approaches to service-</w:t>
      </w:r>
      <w:r w:rsidRPr="0FC6D2D6">
        <w:rPr>
          <w:rFonts w:ascii="Verdana" w:eastAsia="Times New Roman" w:hAnsi="Verdana" w:cs="Times New Roman"/>
        </w:rPr>
        <w:lastRenderedPageBreak/>
        <w:t xml:space="preserve">learning, enriching the collective knowledge and creating more effective strategies for fostering positive change among youth. </w:t>
      </w:r>
    </w:p>
    <w:p w14:paraId="613C2A6E" w14:textId="10C38BFE" w:rsidR="00836547" w:rsidRPr="009F2248" w:rsidRDefault="00C03084" w:rsidP="0FC6D2D6">
      <w:pPr>
        <w:spacing w:after="240" w:line="276" w:lineRule="auto"/>
        <w:jc w:val="both"/>
      </w:pPr>
      <w:r>
        <w:rPr>
          <w:rFonts w:ascii="Verdana" w:eastAsia="Times New Roman" w:hAnsi="Verdana" w:cs="Times New Roman"/>
        </w:rPr>
        <w:t xml:space="preserve">3.2. </w:t>
      </w:r>
      <w:r w:rsidR="2B720FAC" w:rsidRPr="0FC6D2D6">
        <w:rPr>
          <w:rFonts w:ascii="Verdana" w:eastAsia="Times New Roman" w:hAnsi="Verdana" w:cs="Times New Roman"/>
        </w:rPr>
        <w:t xml:space="preserve">Impact on the development of service-learning in the region. </w:t>
      </w:r>
    </w:p>
    <w:p w14:paraId="52D328B4" w14:textId="5C67DA79" w:rsidR="00836547" w:rsidRPr="009F2248" w:rsidRDefault="2B720FAC" w:rsidP="0FC6D2D6">
      <w:pPr>
        <w:spacing w:after="240" w:line="276" w:lineRule="auto"/>
        <w:jc w:val="both"/>
      </w:pPr>
      <w:r w:rsidRPr="0FC6D2D6">
        <w:rPr>
          <w:rFonts w:ascii="Verdana" w:eastAsia="Times New Roman" w:hAnsi="Verdana" w:cs="Times New Roman"/>
        </w:rPr>
        <w:t xml:space="preserve">The network has been instrumental in advancing service-learning across the region by establishing a platform for collaboration and knowledge-sharing among member organisations. This has been realised through various means, including joint projects addressing regional needs and challenges. The organisation of the Regional Service-Learning Award has been particularly impactful, not only by recognising service-learning initiatives in schools and organisations but also by advocating for the widespread adoption of this methodology across countries and the entire region. </w:t>
      </w:r>
    </w:p>
    <w:p w14:paraId="4D3DC353" w14:textId="470C7EB2" w:rsidR="00836547" w:rsidRPr="009F2248" w:rsidRDefault="2B720FAC" w:rsidP="0FC6D2D6">
      <w:pPr>
        <w:spacing w:after="240" w:line="276" w:lineRule="auto"/>
        <w:jc w:val="both"/>
      </w:pPr>
      <w:r w:rsidRPr="0FC6D2D6">
        <w:rPr>
          <w:rFonts w:ascii="Verdana" w:eastAsia="Times New Roman" w:hAnsi="Verdana" w:cs="Times New Roman"/>
        </w:rPr>
        <w:t xml:space="preserve">Moreover, the network has facilitated valuable exchanges, such as conferences, study visits, and youth exchanges, enriching participants' understanding and inspiring new service-learning approaches. Capacity-building efforts targeting teachers, youth workers, and youth leaders have equipped them with the skills and knowledge necessary to implement the service-learning methodology effectively. The network also provides ongoing support for implementing service-learning projects within member countries, ensuring these initiatives are well-executed and impactful. </w:t>
      </w:r>
    </w:p>
    <w:p w14:paraId="2F3698CC" w14:textId="28657F08" w:rsidR="00836547" w:rsidRPr="009F2248" w:rsidRDefault="2B720FAC" w:rsidP="0FC6D2D6">
      <w:pPr>
        <w:spacing w:after="240" w:line="276" w:lineRule="auto"/>
        <w:jc w:val="both"/>
      </w:pPr>
      <w:r w:rsidRPr="0FC6D2D6">
        <w:rPr>
          <w:rFonts w:ascii="Verdana" w:eastAsia="Times New Roman" w:hAnsi="Verdana" w:cs="Times New Roman"/>
        </w:rPr>
        <w:t xml:space="preserve">These joint projects and initiatives have driven organisations to innovate and refine their methodologies, leading to enhanced educational outcomes and a more significant impact on the communities they serve. The cross-border exchange of ideas and experiences has strengthened the development of service-learning programs and fostered a regional culture of civic engagement and social responsibility, laying a solid foundation for future growth and collaboration. </w:t>
      </w:r>
    </w:p>
    <w:p w14:paraId="53651717" w14:textId="29A1D870" w:rsidR="00836547" w:rsidRPr="009F2248" w:rsidRDefault="2B720FAC" w:rsidP="0FC6D2D6">
      <w:pPr>
        <w:spacing w:after="240" w:line="276" w:lineRule="auto"/>
        <w:jc w:val="both"/>
      </w:pPr>
      <w:r w:rsidRPr="0FC6D2D6">
        <w:rPr>
          <w:rFonts w:ascii="Verdana" w:eastAsia="Times New Roman" w:hAnsi="Verdana" w:cs="Times New Roman"/>
        </w:rPr>
        <w:t xml:space="preserve">The network has played a vital role in helping establish national service-learning networks. For example, </w:t>
      </w:r>
      <w:proofErr w:type="spellStart"/>
      <w:r w:rsidRPr="0FC6D2D6">
        <w:rPr>
          <w:rFonts w:ascii="Verdana" w:eastAsia="Times New Roman" w:hAnsi="Verdana" w:cs="Times New Roman"/>
        </w:rPr>
        <w:t>SeLeGRo</w:t>
      </w:r>
      <w:proofErr w:type="spellEnd"/>
      <w:r w:rsidRPr="0FC6D2D6">
        <w:rPr>
          <w:rFonts w:ascii="Verdana" w:eastAsia="Times New Roman" w:hAnsi="Verdana" w:cs="Times New Roman"/>
        </w:rPr>
        <w:t xml:space="preserve">, in partnership with the New Horizons Foundation, coordinates the National Service-Learning Award in Romania and is creating a national service-learning network. They also propose a </w:t>
      </w:r>
      <w:r w:rsidR="001B7967" w:rsidRPr="0FC6D2D6">
        <w:rPr>
          <w:rFonts w:ascii="Verdana" w:eastAsia="Times New Roman" w:hAnsi="Verdana" w:cs="Times New Roman"/>
        </w:rPr>
        <w:t>Service-Learning</w:t>
      </w:r>
      <w:r w:rsidRPr="0FC6D2D6">
        <w:rPr>
          <w:rFonts w:ascii="Verdana" w:eastAsia="Times New Roman" w:hAnsi="Verdana" w:cs="Times New Roman"/>
        </w:rPr>
        <w:t xml:space="preserve"> Institutionalization Certificate to </w:t>
      </w:r>
      <w:proofErr w:type="spellStart"/>
      <w:r w:rsidRPr="0FC6D2D6">
        <w:rPr>
          <w:rFonts w:ascii="Verdana" w:eastAsia="Times New Roman" w:hAnsi="Verdana" w:cs="Times New Roman"/>
        </w:rPr>
        <w:t>formalise</w:t>
      </w:r>
      <w:proofErr w:type="spellEnd"/>
      <w:r w:rsidRPr="0FC6D2D6">
        <w:rPr>
          <w:rFonts w:ascii="Verdana" w:eastAsia="Times New Roman" w:hAnsi="Verdana" w:cs="Times New Roman"/>
        </w:rPr>
        <w:t xml:space="preserve"> school service-learning practices. Through these efforts, Network members are advancing service-learning at a national level, fostering collaboration and educational transformation across countries. </w:t>
      </w:r>
    </w:p>
    <w:p w14:paraId="3F027B4F" w14:textId="188903C9" w:rsidR="00836547" w:rsidRPr="009F2248" w:rsidRDefault="2B720FAC" w:rsidP="0FC6D2D6">
      <w:pPr>
        <w:spacing w:after="240" w:line="276" w:lineRule="auto"/>
        <w:jc w:val="both"/>
      </w:pPr>
      <w:r w:rsidRPr="0FC6D2D6">
        <w:rPr>
          <w:rFonts w:ascii="Verdana" w:eastAsia="Times New Roman" w:hAnsi="Verdana" w:cs="Times New Roman"/>
        </w:rPr>
        <w:t xml:space="preserve">The regional network is a vital resource and structure that supports development of service-learning in the region. It provides activities, papers, and connections with other partners thus the cooperation to spread further and disseminate service-learning. This is visible through expanding the Network to new members like Montenegro, North Macedonia, Serbia, Croatia or the Czech Republic. This </w:t>
      </w:r>
      <w:r w:rsidRPr="0FC6D2D6">
        <w:rPr>
          <w:rFonts w:ascii="Verdana" w:eastAsia="Times New Roman" w:hAnsi="Verdana" w:cs="Times New Roman"/>
        </w:rPr>
        <w:lastRenderedPageBreak/>
        <w:t xml:space="preserve">shows that service-learning is </w:t>
      </w:r>
      <w:proofErr w:type="spellStart"/>
      <w:r w:rsidRPr="0FC6D2D6">
        <w:rPr>
          <w:rFonts w:ascii="Verdana" w:eastAsia="Times New Roman" w:hAnsi="Verdana" w:cs="Times New Roman"/>
        </w:rPr>
        <w:t>recognised</w:t>
      </w:r>
      <w:proofErr w:type="spellEnd"/>
      <w:r w:rsidRPr="0FC6D2D6">
        <w:rPr>
          <w:rFonts w:ascii="Verdana" w:eastAsia="Times New Roman" w:hAnsi="Verdana" w:cs="Times New Roman"/>
        </w:rPr>
        <w:t xml:space="preserve"> as a meaningful and impactful teaching methodology for children and the youth's development. Through joint projects and initiatives, the Network shows a strong presence and systematic work on building the capacities of members and final beneficiaries (</w:t>
      </w:r>
      <w:r w:rsidR="001B7967" w:rsidRPr="0FC6D2D6">
        <w:rPr>
          <w:rFonts w:ascii="Verdana" w:eastAsia="Times New Roman" w:hAnsi="Verdana" w:cs="Times New Roman"/>
        </w:rPr>
        <w:t>schools’</w:t>
      </w:r>
      <w:r w:rsidRPr="0FC6D2D6">
        <w:rPr>
          <w:rFonts w:ascii="Verdana" w:eastAsia="Times New Roman" w:hAnsi="Verdana" w:cs="Times New Roman"/>
        </w:rPr>
        <w:t xml:space="preserve"> teachers, students, youth workers, youth).</w:t>
      </w:r>
    </w:p>
    <w:p w14:paraId="57C95E5C" w14:textId="7ED7E575" w:rsidR="00836547" w:rsidRPr="009F2248" w:rsidRDefault="2B720FAC" w:rsidP="0FC6D2D6">
      <w:pPr>
        <w:spacing w:after="240" w:line="276" w:lineRule="auto"/>
        <w:jc w:val="both"/>
      </w:pPr>
      <w:r w:rsidRPr="0FC6D2D6">
        <w:rPr>
          <w:rFonts w:ascii="Verdana" w:eastAsia="Times New Roman" w:hAnsi="Verdana" w:cs="Times New Roman"/>
        </w:rPr>
        <w:t xml:space="preserve">The Network is </w:t>
      </w:r>
      <w:proofErr w:type="spellStart"/>
      <w:r w:rsidRPr="0FC6D2D6">
        <w:rPr>
          <w:rFonts w:ascii="Verdana" w:eastAsia="Times New Roman" w:hAnsi="Verdana" w:cs="Times New Roman"/>
        </w:rPr>
        <w:t>recognised</w:t>
      </w:r>
      <w:proofErr w:type="spellEnd"/>
      <w:r w:rsidRPr="0FC6D2D6">
        <w:rPr>
          <w:rFonts w:ascii="Verdana" w:eastAsia="Times New Roman" w:hAnsi="Verdana" w:cs="Times New Roman"/>
        </w:rPr>
        <w:t xml:space="preserve"> in Central and </w:t>
      </w:r>
      <w:r w:rsidR="001B7967" w:rsidRPr="0FC6D2D6">
        <w:rPr>
          <w:rFonts w:ascii="Verdana" w:eastAsia="Times New Roman" w:hAnsi="Verdana" w:cs="Times New Roman"/>
        </w:rPr>
        <w:t>Southeastern</w:t>
      </w:r>
      <w:r w:rsidRPr="0FC6D2D6">
        <w:rPr>
          <w:rFonts w:ascii="Verdana" w:eastAsia="Times New Roman" w:hAnsi="Verdana" w:cs="Times New Roman"/>
        </w:rPr>
        <w:t xml:space="preserve"> Europe and beyond. CLAYSS and a network of schools and organisations for service-learning present and </w:t>
      </w:r>
      <w:proofErr w:type="spellStart"/>
      <w:r w:rsidRPr="0FC6D2D6">
        <w:rPr>
          <w:rFonts w:ascii="Verdana" w:eastAsia="Times New Roman" w:hAnsi="Verdana" w:cs="Times New Roman"/>
        </w:rPr>
        <w:t>recognise</w:t>
      </w:r>
      <w:proofErr w:type="spellEnd"/>
      <w:r w:rsidRPr="0FC6D2D6">
        <w:rPr>
          <w:rFonts w:ascii="Verdana" w:eastAsia="Times New Roman" w:hAnsi="Verdana" w:cs="Times New Roman"/>
        </w:rPr>
        <w:t xml:space="preserve"> long-term experience in cooperation, implementation of various projects, trust, competencies of partners, and implementation of impactful activities like the Regional Service-Learning Award.  </w:t>
      </w:r>
    </w:p>
    <w:p w14:paraId="0000001A" w14:textId="7E72C379" w:rsidR="00836547" w:rsidRPr="009F2248" w:rsidRDefault="00F66B43" w:rsidP="0FC6D2D6">
      <w:pPr>
        <w:spacing w:after="240" w:line="276" w:lineRule="auto"/>
        <w:rPr>
          <w:rFonts w:ascii="Verdana" w:eastAsia="Times New Roman" w:hAnsi="Verdana" w:cs="Times New Roman"/>
          <w:b/>
          <w:bCs/>
        </w:rPr>
      </w:pPr>
      <w:r>
        <w:rPr>
          <w:rFonts w:ascii="Verdana" w:eastAsia="Times New Roman" w:hAnsi="Verdana" w:cs="Times New Roman"/>
          <w:b/>
          <w:bCs/>
        </w:rPr>
        <w:t>4</w:t>
      </w:r>
      <w:r w:rsidR="00B1208D" w:rsidRPr="0FC6D2D6">
        <w:rPr>
          <w:rFonts w:ascii="Verdana" w:eastAsia="Times New Roman" w:hAnsi="Verdana" w:cs="Times New Roman"/>
          <w:b/>
          <w:bCs/>
        </w:rPr>
        <w:t>.</w:t>
      </w:r>
      <w:r w:rsidR="00176DB2" w:rsidRPr="0FC6D2D6">
        <w:rPr>
          <w:rFonts w:ascii="Verdana" w:eastAsia="Times New Roman" w:hAnsi="Verdana" w:cs="Times New Roman"/>
          <w:b/>
          <w:bCs/>
        </w:rPr>
        <w:t xml:space="preserve"> </w:t>
      </w:r>
      <w:r w:rsidR="24D398E7" w:rsidRPr="0FC6D2D6">
        <w:rPr>
          <w:rFonts w:ascii="Verdana" w:eastAsia="Times New Roman" w:hAnsi="Verdana" w:cs="Times New Roman"/>
          <w:b/>
          <w:bCs/>
        </w:rPr>
        <w:t>Future of the network</w:t>
      </w:r>
    </w:p>
    <w:p w14:paraId="49EAE3A7" w14:textId="45976C1F" w:rsidR="0F4E1732" w:rsidRPr="00572854" w:rsidRDefault="0F4E1732"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The network's future looks promising as it continues to expand its reach and influence. Only in 2024 did two new countries join the Regional Service-Learning Award.</w:t>
      </w:r>
      <w:r w:rsidR="00F66B43">
        <w:rPr>
          <w:rFonts w:ascii="Verdana" w:eastAsia="Times New Roman" w:hAnsi="Verdana" w:cs="Times New Roman"/>
        </w:rPr>
        <w:t xml:space="preserve"> </w:t>
      </w:r>
      <w:r w:rsidRPr="0FC6D2D6">
        <w:rPr>
          <w:rFonts w:ascii="Verdana" w:eastAsia="Times New Roman" w:hAnsi="Verdana" w:cs="Times New Roman"/>
        </w:rPr>
        <w:t>Networks future can be seen in three levels:</w:t>
      </w:r>
      <w:r w:rsidR="00F66B43">
        <w:rPr>
          <w:rFonts w:ascii="Verdana" w:eastAsia="Times New Roman" w:hAnsi="Verdana" w:cs="Times New Roman"/>
        </w:rPr>
        <w:t xml:space="preserve"> (1) </w:t>
      </w:r>
      <w:r w:rsidRPr="00F66B43">
        <w:rPr>
          <w:rFonts w:ascii="Verdana" w:eastAsia="Times New Roman" w:hAnsi="Verdana" w:cs="Times New Roman"/>
        </w:rPr>
        <w:t xml:space="preserve">by growing and joining new countries and organisations or institutions that work or want to start to work with service-learning; </w:t>
      </w:r>
      <w:r w:rsidR="00F66B43">
        <w:rPr>
          <w:rFonts w:ascii="Verdana" w:eastAsia="Times New Roman" w:hAnsi="Verdana" w:cs="Times New Roman"/>
        </w:rPr>
        <w:t xml:space="preserve">(2) </w:t>
      </w:r>
      <w:r w:rsidRPr="00F66B43">
        <w:rPr>
          <w:rFonts w:ascii="Verdana" w:eastAsia="Times New Roman" w:hAnsi="Verdana" w:cs="Times New Roman"/>
        </w:rPr>
        <w:t>by deepening the impact at national and regional levels</w:t>
      </w:r>
      <w:r w:rsidR="00F66B43">
        <w:rPr>
          <w:rFonts w:ascii="Verdana" w:eastAsia="Times New Roman" w:hAnsi="Verdana" w:cs="Times New Roman"/>
        </w:rPr>
        <w:t>,</w:t>
      </w:r>
      <w:r w:rsidRPr="00F66B43">
        <w:rPr>
          <w:rFonts w:ascii="Verdana" w:eastAsia="Times New Roman" w:hAnsi="Verdana" w:cs="Times New Roman"/>
        </w:rPr>
        <w:t xml:space="preserve"> through capacity building and community mobilisation;</w:t>
      </w:r>
      <w:r w:rsidR="00F66B43">
        <w:rPr>
          <w:rFonts w:ascii="Verdana" w:eastAsia="Times New Roman" w:hAnsi="Verdana" w:cs="Times New Roman"/>
        </w:rPr>
        <w:t xml:space="preserve"> and (3) </w:t>
      </w:r>
      <w:r w:rsidRPr="00F66B43">
        <w:rPr>
          <w:rFonts w:ascii="Verdana" w:eastAsia="Times New Roman" w:hAnsi="Verdana" w:cs="Times New Roman"/>
        </w:rPr>
        <w:t xml:space="preserve">by influencing policy changes and integrating service-learning more deeply into educational systems. </w:t>
      </w:r>
      <w:r w:rsidRPr="0FC6D2D6">
        <w:rPr>
          <w:rFonts w:ascii="Verdana" w:eastAsia="Times New Roman" w:hAnsi="Verdana" w:cs="Times New Roman"/>
        </w:rPr>
        <w:t>The network could shape educational practices and civic engagement in the region. It is mature enough to strategically work on important issues regarding the connection of service-learning methodology with education and civic engagement in the region and on national levels of member partner countries.</w:t>
      </w:r>
    </w:p>
    <w:p w14:paraId="00000037" w14:textId="3B8AB729" w:rsidR="00836547" w:rsidRPr="009F2248" w:rsidRDefault="00176DB2" w:rsidP="009F2248">
      <w:pPr>
        <w:spacing w:after="240" w:line="276" w:lineRule="auto"/>
        <w:jc w:val="both"/>
        <w:rPr>
          <w:rFonts w:ascii="Verdana" w:eastAsia="Times New Roman" w:hAnsi="Verdana" w:cs="Times New Roman"/>
          <w:b/>
        </w:rPr>
      </w:pPr>
      <w:r w:rsidRPr="0FC6D2D6">
        <w:rPr>
          <w:rFonts w:ascii="Verdana" w:eastAsia="Times New Roman" w:hAnsi="Verdana" w:cs="Times New Roman"/>
          <w:b/>
          <w:bCs/>
        </w:rPr>
        <w:t>5</w:t>
      </w:r>
      <w:r w:rsidR="00B1208D" w:rsidRPr="0FC6D2D6">
        <w:rPr>
          <w:rFonts w:ascii="Verdana" w:eastAsia="Times New Roman" w:hAnsi="Verdana" w:cs="Times New Roman"/>
          <w:b/>
          <w:bCs/>
        </w:rPr>
        <w:t>.</w:t>
      </w:r>
      <w:r w:rsidR="001B7967">
        <w:rPr>
          <w:rFonts w:ascii="Verdana" w:eastAsia="Times New Roman" w:hAnsi="Verdana" w:cs="Times New Roman"/>
          <w:b/>
          <w:bCs/>
        </w:rPr>
        <w:t xml:space="preserve"> </w:t>
      </w:r>
      <w:r w:rsidR="00103F4A" w:rsidRPr="0FC6D2D6">
        <w:rPr>
          <w:rFonts w:ascii="Verdana" w:eastAsia="Times New Roman" w:hAnsi="Verdana" w:cs="Times New Roman"/>
          <w:b/>
          <w:bCs/>
        </w:rPr>
        <w:t>Conclusions</w:t>
      </w:r>
    </w:p>
    <w:p w14:paraId="0E6480D3" w14:textId="77777777" w:rsidR="00572854" w:rsidRDefault="024CC283"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 xml:space="preserve">For several reasons, networking among organisations working to develop service-learning in the CEE region is essential. It facilitates the sharing of resources and fosters collaboration, enhancing the overall impact of service-learning initiatives across the region. By building strong partnerships between educational institutions, non-profits, and community organisations, networking helps align goals and creates a cohesive approach to advancing service-learning in CEE. Additionally, networking provides access to diverse perspectives, ensuring that service-learning projects are inclusive and responsive to the unique needs of different regional communities. It also increases students' opportunities to participate in service-learning experiences relevant to their interests and career aspirations, thus enriching their educational journeys. </w:t>
      </w:r>
    </w:p>
    <w:p w14:paraId="10CB20A5" w14:textId="7BF5477A" w:rsidR="024CC283" w:rsidRPr="00572854" w:rsidRDefault="024CC283" w:rsidP="0FC6D2D6">
      <w:pPr>
        <w:spacing w:after="240" w:line="276" w:lineRule="auto"/>
        <w:jc w:val="both"/>
        <w:rPr>
          <w:rFonts w:ascii="Verdana" w:eastAsia="Times New Roman" w:hAnsi="Verdana" w:cs="Times New Roman"/>
        </w:rPr>
      </w:pPr>
      <w:r w:rsidRPr="0FC6D2D6">
        <w:rPr>
          <w:rFonts w:ascii="Verdana" w:eastAsia="Times New Roman" w:hAnsi="Verdana" w:cs="Times New Roman"/>
        </w:rPr>
        <w:t>Furthermore, networking enables the replication and scaling-up of successful service-learning models across CEE, allowing effective programs to be adapted and implemented in various contexts. It fosters knowledge exchange, promotes innovation, and supports continuous improvement in service-learning practices.</w:t>
      </w:r>
      <w:r w:rsidR="00572854">
        <w:rPr>
          <w:rFonts w:ascii="Verdana" w:eastAsia="Times New Roman" w:hAnsi="Verdana" w:cs="Times New Roman"/>
        </w:rPr>
        <w:t xml:space="preserve"> </w:t>
      </w:r>
      <w:r w:rsidRPr="0FC6D2D6">
        <w:rPr>
          <w:rFonts w:ascii="Verdana" w:eastAsia="Times New Roman" w:hAnsi="Verdana" w:cs="Times New Roman"/>
        </w:rPr>
        <w:lastRenderedPageBreak/>
        <w:t>Networking also plays a vital role in advocating for service-learning within the CEE region, helping to secure the necessary resources and policies to sustain these initiatives. It supports the long-term sustainability of service-learning by fostering community among participants and stakeholders. Ultimately, networking empowers organisations to scale successful service-learning programs, extending their reach and impact to benefit more communities throughout Central and Eastern Europe.</w:t>
      </w:r>
    </w:p>
    <w:p w14:paraId="0000003C" w14:textId="5CC90372" w:rsidR="00836547" w:rsidRPr="009F2248" w:rsidRDefault="000732D2" w:rsidP="009F2248">
      <w:pPr>
        <w:spacing w:after="240" w:line="276" w:lineRule="auto"/>
        <w:jc w:val="both"/>
        <w:rPr>
          <w:rFonts w:ascii="Verdana" w:eastAsia="Times New Roman" w:hAnsi="Verdana" w:cs="Times New Roman"/>
          <w:b/>
          <w:lang w:val="de-DE"/>
        </w:rPr>
      </w:pPr>
      <w:r w:rsidRPr="0FC6D2D6">
        <w:rPr>
          <w:rFonts w:ascii="Verdana" w:eastAsia="Times New Roman" w:hAnsi="Verdana" w:cs="Times New Roman"/>
          <w:b/>
          <w:bCs/>
          <w:lang w:val="de-DE"/>
        </w:rPr>
        <w:t>References</w:t>
      </w:r>
    </w:p>
    <w:p w14:paraId="7D30FF38" w14:textId="50797BFC" w:rsidR="089E8778" w:rsidRDefault="089E8778" w:rsidP="0FC6D2D6">
      <w:pPr>
        <w:spacing w:before="240" w:after="240" w:line="276" w:lineRule="auto"/>
        <w:jc w:val="both"/>
        <w:rPr>
          <w:rFonts w:ascii="Verdana" w:eastAsia="Verdana" w:hAnsi="Verdana" w:cs="Verdana"/>
          <w:color w:val="000000" w:themeColor="text1"/>
          <w:lang w:val="de-DE"/>
        </w:rPr>
      </w:pPr>
      <w:proofErr w:type="spellStart"/>
      <w:r w:rsidRPr="0FC6D2D6">
        <w:rPr>
          <w:rFonts w:ascii="Verdana" w:eastAsia="Verdana" w:hAnsi="Verdana" w:cs="Verdana"/>
          <w:color w:val="000000" w:themeColor="text1"/>
          <w:lang w:val="en-GB"/>
        </w:rPr>
        <w:t>Avruj</w:t>
      </w:r>
      <w:proofErr w:type="spellEnd"/>
      <w:r w:rsidRPr="0FC6D2D6">
        <w:rPr>
          <w:rFonts w:ascii="Verdana" w:eastAsia="Verdana" w:hAnsi="Verdana" w:cs="Verdana"/>
          <w:color w:val="000000" w:themeColor="text1"/>
          <w:lang w:val="en-GB"/>
        </w:rPr>
        <w:t xml:space="preserve">, L., &amp; Batista, A. (2022). </w:t>
      </w:r>
      <w:r w:rsidRPr="0FC6D2D6">
        <w:rPr>
          <w:rFonts w:ascii="Verdana" w:eastAsia="Verdana" w:hAnsi="Verdana" w:cs="Verdana"/>
          <w:i/>
          <w:iCs/>
          <w:color w:val="000000" w:themeColor="text1"/>
          <w:lang w:val="en-GB"/>
        </w:rPr>
        <w:t>Story of a network weaving experience: Management report on the program for the Promotion of Service Learning in Central and Eastern Europe 2016-2022</w:t>
      </w:r>
      <w:r w:rsidRPr="0FC6D2D6">
        <w:rPr>
          <w:rFonts w:ascii="Verdana" w:eastAsia="Verdana" w:hAnsi="Verdana" w:cs="Verdana"/>
          <w:color w:val="000000" w:themeColor="text1"/>
          <w:lang w:val="en-GB"/>
        </w:rPr>
        <w:t>. CLAYSS.</w:t>
      </w:r>
    </w:p>
    <w:p w14:paraId="11E6DAAA" w14:textId="230D9F32" w:rsidR="089E8778" w:rsidRDefault="089E8778" w:rsidP="0FC6D2D6">
      <w:pPr>
        <w:spacing w:before="240" w:after="240" w:line="276" w:lineRule="auto"/>
        <w:jc w:val="both"/>
        <w:rPr>
          <w:rFonts w:ascii="Verdana" w:eastAsia="Verdana" w:hAnsi="Verdana" w:cs="Verdana"/>
          <w:color w:val="000000" w:themeColor="text1"/>
          <w:lang w:val="de-DE"/>
        </w:rPr>
      </w:pPr>
      <w:proofErr w:type="spellStart"/>
      <w:r w:rsidRPr="0FC6D2D6">
        <w:rPr>
          <w:rFonts w:ascii="Verdana" w:eastAsia="Verdana" w:hAnsi="Verdana" w:cs="Verdana"/>
          <w:color w:val="000000" w:themeColor="text1"/>
          <w:lang w:val="en-GB"/>
        </w:rPr>
        <w:t>Brozmanová</w:t>
      </w:r>
      <w:proofErr w:type="spellEnd"/>
      <w:r w:rsidRPr="0FC6D2D6">
        <w:rPr>
          <w:rFonts w:ascii="Verdana" w:eastAsia="Verdana" w:hAnsi="Verdana" w:cs="Verdana"/>
          <w:color w:val="000000" w:themeColor="text1"/>
          <w:lang w:val="en-GB"/>
        </w:rPr>
        <w:t xml:space="preserve"> </w:t>
      </w:r>
      <w:proofErr w:type="spellStart"/>
      <w:r w:rsidRPr="0FC6D2D6">
        <w:rPr>
          <w:rFonts w:ascii="Verdana" w:eastAsia="Verdana" w:hAnsi="Verdana" w:cs="Verdana"/>
          <w:color w:val="000000" w:themeColor="text1"/>
          <w:lang w:val="en-GB"/>
        </w:rPr>
        <w:t>Gregorová</w:t>
      </w:r>
      <w:proofErr w:type="spellEnd"/>
      <w:r w:rsidRPr="0FC6D2D6">
        <w:rPr>
          <w:rFonts w:ascii="Verdana" w:eastAsia="Verdana" w:hAnsi="Verdana" w:cs="Verdana"/>
          <w:color w:val="000000" w:themeColor="text1"/>
          <w:lang w:val="en-GB"/>
        </w:rPr>
        <w:t xml:space="preserve">, A., </w:t>
      </w:r>
      <w:proofErr w:type="spellStart"/>
      <w:r w:rsidRPr="0FC6D2D6">
        <w:rPr>
          <w:rFonts w:ascii="Verdana" w:eastAsia="Verdana" w:hAnsi="Verdana" w:cs="Verdana"/>
          <w:color w:val="000000" w:themeColor="text1"/>
          <w:lang w:val="en-GB"/>
        </w:rPr>
        <w:t>Bariaková</w:t>
      </w:r>
      <w:proofErr w:type="spellEnd"/>
      <w:r w:rsidRPr="0FC6D2D6">
        <w:rPr>
          <w:rFonts w:ascii="Verdana" w:eastAsia="Verdana" w:hAnsi="Verdana" w:cs="Verdana"/>
          <w:color w:val="000000" w:themeColor="text1"/>
          <w:lang w:val="en-GB"/>
        </w:rPr>
        <w:t xml:space="preserve">, Z., </w:t>
      </w:r>
      <w:proofErr w:type="spellStart"/>
      <w:r w:rsidRPr="0FC6D2D6">
        <w:rPr>
          <w:rFonts w:ascii="Verdana" w:eastAsia="Verdana" w:hAnsi="Verdana" w:cs="Verdana"/>
          <w:color w:val="000000" w:themeColor="text1"/>
          <w:lang w:val="en-GB"/>
        </w:rPr>
        <w:t>Kubišová</w:t>
      </w:r>
      <w:proofErr w:type="spellEnd"/>
      <w:r w:rsidRPr="0FC6D2D6">
        <w:rPr>
          <w:rFonts w:ascii="Verdana" w:eastAsia="Verdana" w:hAnsi="Verdana" w:cs="Verdana"/>
          <w:color w:val="000000" w:themeColor="text1"/>
          <w:lang w:val="en-GB"/>
        </w:rPr>
        <w:t xml:space="preserve">, Ľ., Murray </w:t>
      </w:r>
      <w:proofErr w:type="spellStart"/>
      <w:r w:rsidRPr="0FC6D2D6">
        <w:rPr>
          <w:rFonts w:ascii="Verdana" w:eastAsia="Verdana" w:hAnsi="Verdana" w:cs="Verdana"/>
          <w:color w:val="000000" w:themeColor="text1"/>
          <w:lang w:val="en-GB"/>
        </w:rPr>
        <w:t>Svidroňová</w:t>
      </w:r>
      <w:proofErr w:type="spellEnd"/>
      <w:r w:rsidRPr="0FC6D2D6">
        <w:rPr>
          <w:rFonts w:ascii="Verdana" w:eastAsia="Verdana" w:hAnsi="Verdana" w:cs="Verdana"/>
          <w:color w:val="000000" w:themeColor="text1"/>
          <w:lang w:val="en-GB"/>
        </w:rPr>
        <w:t xml:space="preserve">, M., &amp; </w:t>
      </w:r>
      <w:proofErr w:type="spellStart"/>
      <w:r w:rsidRPr="0FC6D2D6">
        <w:rPr>
          <w:rFonts w:ascii="Verdana" w:eastAsia="Verdana" w:hAnsi="Verdana" w:cs="Verdana"/>
          <w:color w:val="000000" w:themeColor="text1"/>
          <w:lang w:val="en-GB"/>
        </w:rPr>
        <w:t>Šolcová</w:t>
      </w:r>
      <w:proofErr w:type="spellEnd"/>
      <w:r w:rsidRPr="0FC6D2D6">
        <w:rPr>
          <w:rFonts w:ascii="Verdana" w:eastAsia="Verdana" w:hAnsi="Verdana" w:cs="Verdana"/>
          <w:color w:val="000000" w:themeColor="text1"/>
          <w:lang w:val="en-GB"/>
        </w:rPr>
        <w:t xml:space="preserve">, J. (2019). </w:t>
      </w:r>
      <w:r w:rsidRPr="0FC6D2D6">
        <w:rPr>
          <w:rFonts w:ascii="Verdana" w:eastAsia="Verdana" w:hAnsi="Verdana" w:cs="Verdana"/>
          <w:i/>
          <w:iCs/>
          <w:color w:val="000000" w:themeColor="text1"/>
          <w:lang w:val="en-GB"/>
        </w:rPr>
        <w:t>Mapping of the educational situation in the Central and Eastern European region with focus on service-learning</w:t>
      </w:r>
      <w:r w:rsidRPr="0FC6D2D6">
        <w:rPr>
          <w:rFonts w:ascii="Verdana" w:eastAsia="Verdana" w:hAnsi="Verdana" w:cs="Verdana"/>
          <w:color w:val="000000" w:themeColor="text1"/>
          <w:lang w:val="en-GB"/>
        </w:rPr>
        <w:t>. CLAYSS.</w:t>
      </w:r>
    </w:p>
    <w:p w14:paraId="0F6ECCD3" w14:textId="53B6137C" w:rsidR="089E8778" w:rsidRDefault="089E8778" w:rsidP="0FC6D2D6">
      <w:pPr>
        <w:spacing w:before="240" w:after="240" w:line="276" w:lineRule="auto"/>
        <w:jc w:val="both"/>
        <w:rPr>
          <w:rFonts w:ascii="Verdana" w:eastAsia="Verdana" w:hAnsi="Verdana" w:cs="Verdana"/>
          <w:color w:val="1155CC"/>
          <w:lang w:val="de-DE"/>
        </w:rPr>
      </w:pPr>
      <w:proofErr w:type="spellStart"/>
      <w:r w:rsidRPr="0FC6D2D6">
        <w:rPr>
          <w:rFonts w:ascii="Verdana" w:eastAsia="Verdana" w:hAnsi="Verdana" w:cs="Verdana"/>
          <w:color w:val="000000" w:themeColor="text1"/>
          <w:lang w:val="en-GB"/>
        </w:rPr>
        <w:t>Brozmanová</w:t>
      </w:r>
      <w:proofErr w:type="spellEnd"/>
      <w:r w:rsidRPr="0FC6D2D6">
        <w:rPr>
          <w:rFonts w:ascii="Verdana" w:eastAsia="Verdana" w:hAnsi="Verdana" w:cs="Verdana"/>
          <w:color w:val="000000" w:themeColor="text1"/>
          <w:lang w:val="en-GB"/>
        </w:rPr>
        <w:t xml:space="preserve"> </w:t>
      </w:r>
      <w:proofErr w:type="spellStart"/>
      <w:r w:rsidRPr="0FC6D2D6">
        <w:rPr>
          <w:rFonts w:ascii="Verdana" w:eastAsia="Verdana" w:hAnsi="Verdana" w:cs="Verdana"/>
          <w:color w:val="000000" w:themeColor="text1"/>
          <w:lang w:val="en-GB"/>
        </w:rPr>
        <w:t>Gregorová</w:t>
      </w:r>
      <w:proofErr w:type="spellEnd"/>
      <w:r w:rsidRPr="0FC6D2D6">
        <w:rPr>
          <w:rFonts w:ascii="Verdana" w:eastAsia="Verdana" w:hAnsi="Verdana" w:cs="Verdana"/>
          <w:color w:val="000000" w:themeColor="text1"/>
          <w:lang w:val="en-GB"/>
        </w:rPr>
        <w:t xml:space="preserve">, A., &amp; </w:t>
      </w:r>
      <w:proofErr w:type="spellStart"/>
      <w:r w:rsidRPr="0FC6D2D6">
        <w:rPr>
          <w:rFonts w:ascii="Verdana" w:eastAsia="Verdana" w:hAnsi="Verdana" w:cs="Verdana"/>
          <w:color w:val="000000" w:themeColor="text1"/>
          <w:lang w:val="en-GB"/>
        </w:rPr>
        <w:t>Heinzová</w:t>
      </w:r>
      <w:proofErr w:type="spellEnd"/>
      <w:r w:rsidRPr="0FC6D2D6">
        <w:rPr>
          <w:rFonts w:ascii="Verdana" w:eastAsia="Verdana" w:hAnsi="Verdana" w:cs="Verdana"/>
          <w:color w:val="000000" w:themeColor="text1"/>
          <w:lang w:val="en-GB"/>
        </w:rPr>
        <w:t xml:space="preserve">, Z. (2023). The Civic-Minded Graduate Construct in the Context of the Engaged University: A Case Study of a University </w:t>
      </w:r>
      <w:proofErr w:type="gramStart"/>
      <w:r w:rsidRPr="0FC6D2D6">
        <w:rPr>
          <w:rFonts w:ascii="Verdana" w:eastAsia="Verdana" w:hAnsi="Verdana" w:cs="Verdana"/>
          <w:color w:val="000000" w:themeColor="text1"/>
          <w:lang w:val="en-GB"/>
        </w:rPr>
        <w:t>From</w:t>
      </w:r>
      <w:proofErr w:type="gramEnd"/>
      <w:r w:rsidRPr="0FC6D2D6">
        <w:rPr>
          <w:rFonts w:ascii="Verdana" w:eastAsia="Verdana" w:hAnsi="Verdana" w:cs="Verdana"/>
          <w:color w:val="000000" w:themeColor="text1"/>
          <w:lang w:val="en-GB"/>
        </w:rPr>
        <w:t xml:space="preserve"> Slovakia. </w:t>
      </w:r>
      <w:r w:rsidRPr="0FC6D2D6">
        <w:rPr>
          <w:rFonts w:ascii="Verdana" w:eastAsia="Verdana" w:hAnsi="Verdana" w:cs="Verdana"/>
          <w:i/>
          <w:iCs/>
          <w:color w:val="000000" w:themeColor="text1"/>
          <w:lang w:val="en-GB"/>
        </w:rPr>
        <w:t>Journal of Higher Education Outreach and Engagement</w:t>
      </w:r>
      <w:r w:rsidRPr="0FC6D2D6">
        <w:rPr>
          <w:rFonts w:ascii="Verdana" w:eastAsia="Verdana" w:hAnsi="Verdana" w:cs="Verdana"/>
          <w:color w:val="000000" w:themeColor="text1"/>
          <w:lang w:val="en-GB"/>
        </w:rPr>
        <w:t>, 27(4), 65–77.</w:t>
      </w:r>
    </w:p>
    <w:p w14:paraId="7EEC23CD" w14:textId="54876416" w:rsidR="089E8778" w:rsidRDefault="089E8778" w:rsidP="0FC6D2D6">
      <w:pPr>
        <w:spacing w:before="240" w:after="240" w:line="276" w:lineRule="auto"/>
        <w:jc w:val="both"/>
        <w:rPr>
          <w:rFonts w:ascii="Verdana" w:eastAsia="Verdana" w:hAnsi="Verdana" w:cs="Verdana"/>
          <w:color w:val="1155CC"/>
          <w:lang w:val="de-DE"/>
        </w:rPr>
      </w:pPr>
      <w:proofErr w:type="spellStart"/>
      <w:r w:rsidRPr="0FC6D2D6">
        <w:rPr>
          <w:rFonts w:ascii="Verdana" w:eastAsia="Verdana" w:hAnsi="Verdana" w:cs="Verdana"/>
          <w:color w:val="000000" w:themeColor="text1"/>
          <w:lang w:val="en-GB"/>
        </w:rPr>
        <w:t>Celio</w:t>
      </w:r>
      <w:proofErr w:type="spellEnd"/>
      <w:r w:rsidRPr="0FC6D2D6">
        <w:rPr>
          <w:rFonts w:ascii="Verdana" w:eastAsia="Verdana" w:hAnsi="Verdana" w:cs="Verdana"/>
          <w:color w:val="000000" w:themeColor="text1"/>
          <w:lang w:val="en-GB"/>
        </w:rPr>
        <w:t xml:space="preserve">, C. I., </w:t>
      </w:r>
      <w:proofErr w:type="spellStart"/>
      <w:r w:rsidRPr="0FC6D2D6">
        <w:rPr>
          <w:rFonts w:ascii="Verdana" w:eastAsia="Verdana" w:hAnsi="Verdana" w:cs="Verdana"/>
          <w:color w:val="000000" w:themeColor="text1"/>
          <w:lang w:val="en-GB"/>
        </w:rPr>
        <w:t>Durlak</w:t>
      </w:r>
      <w:proofErr w:type="spellEnd"/>
      <w:r w:rsidRPr="0FC6D2D6">
        <w:rPr>
          <w:rFonts w:ascii="Verdana" w:eastAsia="Verdana" w:hAnsi="Verdana" w:cs="Verdana"/>
          <w:color w:val="000000" w:themeColor="text1"/>
          <w:lang w:val="en-GB"/>
        </w:rPr>
        <w:t xml:space="preserve">, J., &amp; </w:t>
      </w:r>
      <w:proofErr w:type="spellStart"/>
      <w:r w:rsidRPr="0FC6D2D6">
        <w:rPr>
          <w:rFonts w:ascii="Verdana" w:eastAsia="Verdana" w:hAnsi="Verdana" w:cs="Verdana"/>
          <w:color w:val="000000" w:themeColor="text1"/>
          <w:lang w:val="en-GB"/>
        </w:rPr>
        <w:t>Dymnicki</w:t>
      </w:r>
      <w:proofErr w:type="spellEnd"/>
      <w:r w:rsidRPr="0FC6D2D6">
        <w:rPr>
          <w:rFonts w:ascii="Verdana" w:eastAsia="Verdana" w:hAnsi="Verdana" w:cs="Verdana"/>
          <w:color w:val="000000" w:themeColor="text1"/>
          <w:lang w:val="en-GB"/>
        </w:rPr>
        <w:t xml:space="preserve">, A. (2011). A Meta-analysis of the Impact of Service-Learning on Students. </w:t>
      </w:r>
      <w:r w:rsidRPr="0FC6D2D6">
        <w:rPr>
          <w:rFonts w:ascii="Verdana" w:eastAsia="Verdana" w:hAnsi="Verdana" w:cs="Verdana"/>
          <w:i/>
          <w:iCs/>
          <w:color w:val="000000" w:themeColor="text1"/>
          <w:lang w:val="en-GB"/>
        </w:rPr>
        <w:t>Journal of Experiential Education</w:t>
      </w:r>
      <w:r w:rsidRPr="0FC6D2D6">
        <w:rPr>
          <w:rFonts w:ascii="Verdana" w:eastAsia="Verdana" w:hAnsi="Verdana" w:cs="Verdana"/>
          <w:color w:val="000000" w:themeColor="text1"/>
          <w:lang w:val="en-GB"/>
        </w:rPr>
        <w:t>, 34(2), 164–181.</w:t>
      </w:r>
      <w:hyperlink r:id="rId14">
        <w:r w:rsidRPr="0FC6D2D6">
          <w:rPr>
            <w:rStyle w:val="Hyperlink"/>
            <w:rFonts w:ascii="Verdana" w:eastAsia="Verdana" w:hAnsi="Verdana" w:cs="Verdana"/>
            <w:color w:val="000000" w:themeColor="text1"/>
            <w:lang w:val="en-GB"/>
          </w:rPr>
          <w:t xml:space="preserve"> </w:t>
        </w:r>
      </w:hyperlink>
      <w:hyperlink r:id="rId15">
        <w:r w:rsidRPr="0FC6D2D6">
          <w:rPr>
            <w:rStyle w:val="Hyperlink"/>
            <w:rFonts w:ascii="Verdana" w:eastAsia="Verdana" w:hAnsi="Verdana" w:cs="Verdana"/>
            <w:color w:val="1155CC"/>
            <w:lang w:val="en-GB"/>
          </w:rPr>
          <w:t>https://doi.org/10.1177/105382591103400205</w:t>
        </w:r>
      </w:hyperlink>
    </w:p>
    <w:p w14:paraId="1AA022AC" w14:textId="35A391F6" w:rsidR="089E8778" w:rsidRDefault="089E8778" w:rsidP="0FC6D2D6">
      <w:pPr>
        <w:spacing w:before="240" w:after="240" w:line="276" w:lineRule="auto"/>
        <w:jc w:val="both"/>
        <w:rPr>
          <w:rFonts w:ascii="Verdana" w:eastAsia="Verdana" w:hAnsi="Verdana" w:cs="Verdana"/>
          <w:color w:val="1155CC"/>
          <w:lang w:val="de-DE"/>
        </w:rPr>
      </w:pPr>
      <w:proofErr w:type="spellStart"/>
      <w:r w:rsidRPr="0FC6D2D6">
        <w:rPr>
          <w:rFonts w:ascii="Verdana" w:eastAsia="Verdana" w:hAnsi="Verdana" w:cs="Verdana"/>
          <w:color w:val="000000" w:themeColor="text1"/>
          <w:lang w:val="en-GB"/>
        </w:rPr>
        <w:t>Culum</w:t>
      </w:r>
      <w:proofErr w:type="spellEnd"/>
      <w:r w:rsidRPr="0FC6D2D6">
        <w:rPr>
          <w:rFonts w:ascii="Verdana" w:eastAsia="Verdana" w:hAnsi="Verdana" w:cs="Verdana"/>
          <w:color w:val="000000" w:themeColor="text1"/>
          <w:lang w:val="en-GB"/>
        </w:rPr>
        <w:t xml:space="preserve"> Ilic, B., </w:t>
      </w:r>
      <w:proofErr w:type="spellStart"/>
      <w:r w:rsidRPr="0FC6D2D6">
        <w:rPr>
          <w:rFonts w:ascii="Verdana" w:eastAsia="Verdana" w:hAnsi="Verdana" w:cs="Verdana"/>
          <w:color w:val="000000" w:themeColor="text1"/>
          <w:lang w:val="en-GB"/>
        </w:rPr>
        <w:t>Brozmanová</w:t>
      </w:r>
      <w:proofErr w:type="spellEnd"/>
      <w:r w:rsidRPr="0FC6D2D6">
        <w:rPr>
          <w:rFonts w:ascii="Verdana" w:eastAsia="Verdana" w:hAnsi="Verdana" w:cs="Verdana"/>
          <w:color w:val="000000" w:themeColor="text1"/>
          <w:lang w:val="en-GB"/>
        </w:rPr>
        <w:t xml:space="preserve"> </w:t>
      </w:r>
      <w:proofErr w:type="spellStart"/>
      <w:r w:rsidRPr="0FC6D2D6">
        <w:rPr>
          <w:rFonts w:ascii="Verdana" w:eastAsia="Verdana" w:hAnsi="Verdana" w:cs="Verdana"/>
          <w:color w:val="000000" w:themeColor="text1"/>
          <w:lang w:val="en-GB"/>
        </w:rPr>
        <w:t>Gregorová</w:t>
      </w:r>
      <w:proofErr w:type="spellEnd"/>
      <w:r w:rsidRPr="0FC6D2D6">
        <w:rPr>
          <w:rFonts w:ascii="Verdana" w:eastAsia="Verdana" w:hAnsi="Verdana" w:cs="Verdana"/>
          <w:color w:val="000000" w:themeColor="text1"/>
          <w:lang w:val="en-GB"/>
        </w:rPr>
        <w:t xml:space="preserve">, A., &amp; </w:t>
      </w:r>
      <w:proofErr w:type="spellStart"/>
      <w:r w:rsidRPr="0FC6D2D6">
        <w:rPr>
          <w:rFonts w:ascii="Verdana" w:eastAsia="Verdana" w:hAnsi="Verdana" w:cs="Verdana"/>
          <w:color w:val="000000" w:themeColor="text1"/>
          <w:lang w:val="en-GB"/>
        </w:rPr>
        <w:t>Rusu</w:t>
      </w:r>
      <w:proofErr w:type="spellEnd"/>
      <w:r w:rsidRPr="0FC6D2D6">
        <w:rPr>
          <w:rFonts w:ascii="Verdana" w:eastAsia="Verdana" w:hAnsi="Verdana" w:cs="Verdana"/>
          <w:color w:val="000000" w:themeColor="text1"/>
          <w:lang w:val="en-GB"/>
        </w:rPr>
        <w:t xml:space="preserve">, A. S. (2021). Service-Learning as a Novelty Experience at Central and Eastern European Universities: Students' Narratives of Satisfaction and Premises of Change. </w:t>
      </w:r>
      <w:r w:rsidRPr="0FC6D2D6">
        <w:rPr>
          <w:rFonts w:ascii="Verdana" w:eastAsia="Verdana" w:hAnsi="Verdana" w:cs="Verdana"/>
          <w:i/>
          <w:iCs/>
          <w:color w:val="000000" w:themeColor="text1"/>
          <w:lang w:val="en-GB"/>
        </w:rPr>
        <w:t>Leadership in Education</w:t>
      </w:r>
      <w:r w:rsidRPr="0FC6D2D6">
        <w:rPr>
          <w:rFonts w:ascii="Verdana" w:eastAsia="Verdana" w:hAnsi="Verdana" w:cs="Verdana"/>
          <w:color w:val="000000" w:themeColor="text1"/>
          <w:lang w:val="en-GB"/>
        </w:rPr>
        <w:t>, 6.</w:t>
      </w:r>
      <w:hyperlink r:id="rId16">
        <w:r w:rsidRPr="0FC6D2D6">
          <w:rPr>
            <w:rStyle w:val="Hyperlink"/>
            <w:rFonts w:ascii="Verdana" w:eastAsia="Verdana" w:hAnsi="Verdana" w:cs="Verdana"/>
            <w:color w:val="000000" w:themeColor="text1"/>
            <w:lang w:val="en-GB"/>
          </w:rPr>
          <w:t xml:space="preserve"> </w:t>
        </w:r>
      </w:hyperlink>
      <w:hyperlink r:id="rId17">
        <w:r w:rsidRPr="0FC6D2D6">
          <w:rPr>
            <w:rStyle w:val="Hyperlink"/>
            <w:rFonts w:ascii="Verdana" w:eastAsia="Verdana" w:hAnsi="Verdana" w:cs="Verdana"/>
            <w:color w:val="1155CC"/>
            <w:lang w:val="en-GB"/>
          </w:rPr>
          <w:t>https://doi.org/10.3389/feduc.2021.606356</w:t>
        </w:r>
      </w:hyperlink>
    </w:p>
    <w:p w14:paraId="007BE65C" w14:textId="52B8A53B" w:rsidR="089E8778" w:rsidRDefault="089E8778" w:rsidP="0FC6D2D6">
      <w:pPr>
        <w:spacing w:before="240" w:after="240" w:line="276" w:lineRule="auto"/>
        <w:jc w:val="both"/>
        <w:rPr>
          <w:rFonts w:ascii="Verdana" w:eastAsia="Verdana" w:hAnsi="Verdana" w:cs="Verdana"/>
          <w:color w:val="000000" w:themeColor="text1"/>
          <w:lang w:val="de-DE"/>
        </w:rPr>
      </w:pPr>
      <w:proofErr w:type="spellStart"/>
      <w:r w:rsidRPr="0FC6D2D6">
        <w:rPr>
          <w:rFonts w:ascii="Verdana" w:eastAsia="Verdana" w:hAnsi="Verdana" w:cs="Verdana"/>
          <w:color w:val="000000" w:themeColor="text1"/>
          <w:lang w:val="en-GB"/>
        </w:rPr>
        <w:t>Hörner</w:t>
      </w:r>
      <w:proofErr w:type="spellEnd"/>
      <w:r w:rsidRPr="0FC6D2D6">
        <w:rPr>
          <w:rFonts w:ascii="Verdana" w:eastAsia="Verdana" w:hAnsi="Verdana" w:cs="Verdana"/>
          <w:color w:val="000000" w:themeColor="text1"/>
          <w:lang w:val="en-GB"/>
        </w:rPr>
        <w:t xml:space="preserve">, W., </w:t>
      </w:r>
      <w:proofErr w:type="spellStart"/>
      <w:r w:rsidRPr="0FC6D2D6">
        <w:rPr>
          <w:rFonts w:ascii="Verdana" w:eastAsia="Verdana" w:hAnsi="Verdana" w:cs="Verdana"/>
          <w:color w:val="000000" w:themeColor="text1"/>
          <w:lang w:val="en-GB"/>
        </w:rPr>
        <w:t>Döbert</w:t>
      </w:r>
      <w:proofErr w:type="spellEnd"/>
      <w:r w:rsidRPr="0FC6D2D6">
        <w:rPr>
          <w:rFonts w:ascii="Verdana" w:eastAsia="Verdana" w:hAnsi="Verdana" w:cs="Verdana"/>
          <w:color w:val="000000" w:themeColor="text1"/>
          <w:lang w:val="en-GB"/>
        </w:rPr>
        <w:t xml:space="preserve">, H., Reuter, L. R., &amp; Kopp, B. (Eds.). (2015). </w:t>
      </w:r>
      <w:r w:rsidRPr="0FC6D2D6">
        <w:rPr>
          <w:rFonts w:ascii="Verdana" w:eastAsia="Verdana" w:hAnsi="Verdana" w:cs="Verdana"/>
          <w:i/>
          <w:iCs/>
          <w:color w:val="000000" w:themeColor="text1"/>
          <w:lang w:val="en-GB"/>
        </w:rPr>
        <w:t>The education systems of Europe</w:t>
      </w:r>
      <w:r w:rsidRPr="0FC6D2D6">
        <w:rPr>
          <w:rFonts w:ascii="Verdana" w:eastAsia="Verdana" w:hAnsi="Verdana" w:cs="Verdana"/>
          <w:color w:val="000000" w:themeColor="text1"/>
          <w:lang w:val="en-GB"/>
        </w:rPr>
        <w:t>. Springer.</w:t>
      </w:r>
    </w:p>
    <w:p w14:paraId="722CAB6C" w14:textId="3257100F" w:rsidR="089E8778" w:rsidRDefault="089E8778" w:rsidP="0FC6D2D6">
      <w:pPr>
        <w:spacing w:before="240" w:after="240" w:line="276" w:lineRule="auto"/>
        <w:jc w:val="both"/>
        <w:rPr>
          <w:rFonts w:ascii="Verdana" w:eastAsia="Verdana" w:hAnsi="Verdana" w:cs="Verdana"/>
          <w:color w:val="1155CC"/>
          <w:lang w:val="de-DE"/>
        </w:rPr>
      </w:pPr>
      <w:r w:rsidRPr="0FC6D2D6">
        <w:rPr>
          <w:rFonts w:ascii="Verdana" w:eastAsia="Verdana" w:hAnsi="Verdana" w:cs="Verdana"/>
          <w:color w:val="000000" w:themeColor="text1"/>
          <w:lang w:val="en-GB"/>
        </w:rPr>
        <w:t xml:space="preserve">Newman, J. L., Dantzler, J., &amp; Coleman, A. N. (2015). Science in Action: How Middle School Students Are Changing Their World Through STEM Service-Learning Projects. </w:t>
      </w:r>
      <w:r w:rsidRPr="0FC6D2D6">
        <w:rPr>
          <w:rFonts w:ascii="Verdana" w:eastAsia="Verdana" w:hAnsi="Verdana" w:cs="Verdana"/>
          <w:i/>
          <w:iCs/>
          <w:color w:val="000000" w:themeColor="text1"/>
          <w:lang w:val="en-GB"/>
        </w:rPr>
        <w:t>Theory Into Practice</w:t>
      </w:r>
      <w:r w:rsidRPr="0FC6D2D6">
        <w:rPr>
          <w:rFonts w:ascii="Verdana" w:eastAsia="Verdana" w:hAnsi="Verdana" w:cs="Verdana"/>
          <w:color w:val="000000" w:themeColor="text1"/>
          <w:lang w:val="en-GB"/>
        </w:rPr>
        <w:t>, 54(1), 47–54.</w:t>
      </w:r>
      <w:hyperlink r:id="rId18">
        <w:r w:rsidRPr="0FC6D2D6">
          <w:rPr>
            <w:rStyle w:val="Hyperlink"/>
            <w:rFonts w:ascii="Verdana" w:eastAsia="Verdana" w:hAnsi="Verdana" w:cs="Verdana"/>
            <w:color w:val="000000" w:themeColor="text1"/>
            <w:lang w:val="en-GB"/>
          </w:rPr>
          <w:t xml:space="preserve"> </w:t>
        </w:r>
      </w:hyperlink>
      <w:hyperlink r:id="rId19">
        <w:r w:rsidRPr="0FC6D2D6">
          <w:rPr>
            <w:rStyle w:val="Hyperlink"/>
            <w:rFonts w:ascii="Verdana" w:eastAsia="Verdana" w:hAnsi="Verdana" w:cs="Verdana"/>
            <w:color w:val="1155CC"/>
            <w:lang w:val="en-GB"/>
          </w:rPr>
          <w:t>https://doi.org/10.1080/00405841.2015.977661</w:t>
        </w:r>
      </w:hyperlink>
    </w:p>
    <w:p w14:paraId="00000040" w14:textId="019430CF" w:rsidR="00836547" w:rsidRPr="00C03084" w:rsidRDefault="089E8778" w:rsidP="00C03084">
      <w:pPr>
        <w:spacing w:before="240" w:after="240" w:line="276" w:lineRule="auto"/>
        <w:jc w:val="both"/>
        <w:rPr>
          <w:rFonts w:ascii="Verdana" w:eastAsia="Verdana" w:hAnsi="Verdana" w:cs="Verdana"/>
          <w:color w:val="1155CC"/>
          <w:lang w:val="de-DE"/>
        </w:rPr>
      </w:pPr>
      <w:r w:rsidRPr="0FC6D2D6">
        <w:rPr>
          <w:rFonts w:ascii="Verdana" w:eastAsia="Verdana" w:hAnsi="Verdana" w:cs="Verdana"/>
          <w:color w:val="000000" w:themeColor="text1"/>
          <w:lang w:val="en-GB"/>
        </w:rPr>
        <w:t xml:space="preserve">Warren, J. L. (2012). Does Service-Learning Increase Student Learning? A Meta-Analysis. </w:t>
      </w:r>
      <w:r w:rsidRPr="0FC6D2D6">
        <w:rPr>
          <w:rFonts w:ascii="Verdana" w:eastAsia="Verdana" w:hAnsi="Verdana" w:cs="Verdana"/>
          <w:i/>
          <w:iCs/>
          <w:color w:val="000000" w:themeColor="text1"/>
          <w:lang w:val="en-GB"/>
        </w:rPr>
        <w:t>Michigan Journal of Community Service Learning</w:t>
      </w:r>
      <w:r w:rsidRPr="0FC6D2D6">
        <w:rPr>
          <w:rFonts w:ascii="Verdana" w:eastAsia="Verdana" w:hAnsi="Verdana" w:cs="Verdana"/>
          <w:color w:val="000000" w:themeColor="text1"/>
          <w:lang w:val="en-GB"/>
        </w:rPr>
        <w:t>, 55–61.</w:t>
      </w:r>
      <w:hyperlink r:id="rId20">
        <w:r w:rsidRPr="0FC6D2D6">
          <w:rPr>
            <w:rStyle w:val="Hyperlink"/>
            <w:rFonts w:ascii="Verdana" w:eastAsia="Verdana" w:hAnsi="Verdana" w:cs="Verdana"/>
            <w:color w:val="000000" w:themeColor="text1"/>
            <w:lang w:val="en-GB"/>
          </w:rPr>
          <w:t xml:space="preserve"> </w:t>
        </w:r>
      </w:hyperlink>
      <w:hyperlink r:id="rId21">
        <w:r w:rsidRPr="0FC6D2D6">
          <w:rPr>
            <w:rStyle w:val="Hyperlink"/>
            <w:rFonts w:ascii="Verdana" w:eastAsia="Verdana" w:hAnsi="Verdana" w:cs="Verdana"/>
            <w:color w:val="1155CC"/>
            <w:lang w:val="en-GB"/>
          </w:rPr>
          <w:t>https://files.eric.ed.gov/fulltext/EJ988320.pdf</w:t>
        </w:r>
      </w:hyperlink>
    </w:p>
    <w:sectPr w:rsidR="00836547" w:rsidRPr="00C03084" w:rsidSect="00DE2E67">
      <w:headerReference w:type="default" r:id="rId22"/>
      <w:footerReference w:type="default" r:id="rId23"/>
      <w:pgSz w:w="11906" w:h="16838"/>
      <w:pgMar w:top="1417" w:right="1417" w:bottom="1134" w:left="1417" w:header="448" w:footer="578" w:gutter="0"/>
      <w:pgNumType w:start="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57C7" w14:textId="77777777" w:rsidR="0042489A" w:rsidRDefault="0042489A" w:rsidP="00476D03">
      <w:pPr>
        <w:spacing w:after="0" w:line="240" w:lineRule="auto"/>
      </w:pPr>
      <w:r>
        <w:separator/>
      </w:r>
    </w:p>
  </w:endnote>
  <w:endnote w:type="continuationSeparator" w:id="0">
    <w:p w14:paraId="09E64A2E" w14:textId="77777777" w:rsidR="0042489A" w:rsidRDefault="0042489A" w:rsidP="0047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107581"/>
      <w:docPartObj>
        <w:docPartGallery w:val="Page Numbers (Bottom of Page)"/>
        <w:docPartUnique/>
      </w:docPartObj>
    </w:sdtPr>
    <w:sdtEndPr>
      <w:rPr>
        <w:b/>
        <w:bCs/>
      </w:rPr>
    </w:sdtEndPr>
    <w:sdtContent>
      <w:p w14:paraId="6976838E" w14:textId="66BED1BB" w:rsidR="009F2248" w:rsidRPr="00895D1C" w:rsidRDefault="000E1321" w:rsidP="00895D1C">
        <w:pPr>
          <w:widowControl w:val="0"/>
          <w:spacing w:before="170"/>
          <w:ind w:left="170"/>
          <w:jc w:val="center"/>
          <w:rPr>
            <w:rFonts w:ascii="Verdana" w:eastAsia="Verdana" w:hAnsi="Verdana" w:cs="Verdana"/>
            <w:b/>
            <w:bCs/>
            <w:color w:val="4F81BD" w:themeColor="accent1"/>
            <w:sz w:val="16"/>
            <w:szCs w:val="16"/>
          </w:rPr>
        </w:pPr>
        <w:proofErr w:type="spellStart"/>
        <w:r>
          <w:rPr>
            <w:rFonts w:ascii="Verdana" w:eastAsia="Verdana" w:hAnsi="Verdana" w:cs="Verdana"/>
            <w:b/>
            <w:bCs/>
            <w:color w:val="4F81BD" w:themeColor="accent1"/>
            <w:sz w:val="16"/>
            <w:szCs w:val="16"/>
            <w:lang w:val="es-ES"/>
          </w:rPr>
          <w:t>Brozmanová</w:t>
        </w:r>
        <w:proofErr w:type="spellEnd"/>
        <w:r>
          <w:rPr>
            <w:rFonts w:ascii="Verdana" w:eastAsia="Verdana" w:hAnsi="Verdana" w:cs="Verdana"/>
            <w:b/>
            <w:bCs/>
            <w:color w:val="4F81BD" w:themeColor="accent1"/>
            <w:sz w:val="16"/>
            <w:szCs w:val="16"/>
            <w:lang w:val="es-ES"/>
          </w:rPr>
          <w:t xml:space="preserve"> </w:t>
        </w:r>
        <w:proofErr w:type="spellStart"/>
        <w:r>
          <w:rPr>
            <w:rFonts w:ascii="Verdana" w:eastAsia="Verdana" w:hAnsi="Verdana" w:cs="Verdana"/>
            <w:b/>
            <w:bCs/>
            <w:color w:val="4F81BD" w:themeColor="accent1"/>
            <w:sz w:val="16"/>
            <w:szCs w:val="16"/>
            <w:lang w:val="es-ES"/>
          </w:rPr>
          <w:t>G</w:t>
        </w:r>
        <w:r w:rsidR="00DE2E67" w:rsidRPr="00DE2E67">
          <w:rPr>
            <w:rFonts w:ascii="Verdana" w:eastAsia="Verdana" w:hAnsi="Verdana" w:cs="Verdana"/>
            <w:b/>
            <w:bCs/>
            <w:color w:val="4F81BD" w:themeColor="accent1"/>
            <w:sz w:val="16"/>
            <w:szCs w:val="16"/>
            <w:lang w:val="es-ES"/>
          </w:rPr>
          <w:t>regorová</w:t>
        </w:r>
        <w:proofErr w:type="spellEnd"/>
        <w:r w:rsidR="009F2248" w:rsidRPr="00DE2E67">
          <w:rPr>
            <w:rFonts w:ascii="Verdana" w:eastAsia="Verdana" w:hAnsi="Verdana" w:cs="Verdana"/>
            <w:b/>
            <w:bCs/>
            <w:color w:val="4F81BD" w:themeColor="accent1"/>
            <w:sz w:val="16"/>
            <w:szCs w:val="16"/>
            <w:lang w:val="es-ES"/>
          </w:rPr>
          <w:t xml:space="preserve">, </w:t>
        </w:r>
        <w:r w:rsidR="00DE2E67" w:rsidRPr="00DE2E67">
          <w:rPr>
            <w:rFonts w:ascii="Verdana" w:eastAsia="Verdana" w:hAnsi="Verdana" w:cs="Verdana"/>
            <w:b/>
            <w:bCs/>
            <w:color w:val="4F81BD" w:themeColor="accent1"/>
            <w:sz w:val="16"/>
            <w:szCs w:val="16"/>
            <w:lang w:val="es-ES"/>
          </w:rPr>
          <w:t>A</w:t>
        </w:r>
        <w:r w:rsidR="00DE2E67">
          <w:rPr>
            <w:rFonts w:ascii="Verdana" w:eastAsia="Verdana" w:hAnsi="Verdana" w:cs="Verdana"/>
            <w:b/>
            <w:bCs/>
            <w:color w:val="4F81BD" w:themeColor="accent1"/>
            <w:sz w:val="16"/>
            <w:szCs w:val="16"/>
            <w:lang w:val="es-ES"/>
          </w:rPr>
          <w:t>.</w:t>
        </w:r>
        <w:r w:rsidR="00572854">
          <w:rPr>
            <w:rFonts w:ascii="Verdana" w:eastAsia="Verdana" w:hAnsi="Verdana" w:cs="Verdana"/>
            <w:b/>
            <w:bCs/>
            <w:color w:val="4F81BD" w:themeColor="accent1"/>
            <w:sz w:val="16"/>
            <w:szCs w:val="16"/>
            <w:lang w:val="es-ES"/>
          </w:rPr>
          <w:t xml:space="preserve">; </w:t>
        </w:r>
        <w:proofErr w:type="spellStart"/>
        <w:r w:rsidR="00572854">
          <w:rPr>
            <w:rFonts w:ascii="Verdana" w:eastAsia="Verdana" w:hAnsi="Verdana" w:cs="Verdana"/>
            <w:b/>
            <w:bCs/>
            <w:color w:val="4F81BD" w:themeColor="accent1"/>
            <w:sz w:val="16"/>
            <w:szCs w:val="16"/>
            <w:lang w:val="es-ES"/>
          </w:rPr>
          <w:t>Malkic</w:t>
        </w:r>
        <w:proofErr w:type="spellEnd"/>
        <w:r w:rsidR="00572854">
          <w:rPr>
            <w:rFonts w:ascii="Verdana" w:eastAsia="Verdana" w:hAnsi="Verdana" w:cs="Verdana"/>
            <w:b/>
            <w:bCs/>
            <w:color w:val="4F81BD" w:themeColor="accent1"/>
            <w:sz w:val="16"/>
            <w:szCs w:val="16"/>
            <w:lang w:val="es-ES"/>
          </w:rPr>
          <w:t xml:space="preserve">, E.; </w:t>
        </w:r>
        <w:proofErr w:type="spellStart"/>
        <w:r w:rsidR="00572854">
          <w:rPr>
            <w:rFonts w:ascii="Verdana" w:eastAsia="Verdana" w:hAnsi="Verdana" w:cs="Verdana"/>
            <w:b/>
            <w:bCs/>
            <w:color w:val="4F81BD" w:themeColor="accent1"/>
            <w:sz w:val="16"/>
            <w:szCs w:val="16"/>
            <w:lang w:val="es-ES"/>
          </w:rPr>
          <w:t>Butika</w:t>
        </w:r>
        <w:proofErr w:type="spellEnd"/>
        <w:r w:rsidR="00572854">
          <w:rPr>
            <w:rFonts w:ascii="Verdana" w:eastAsia="Verdana" w:hAnsi="Verdana" w:cs="Verdana"/>
            <w:b/>
            <w:bCs/>
            <w:color w:val="4F81BD" w:themeColor="accent1"/>
            <w:sz w:val="16"/>
            <w:szCs w:val="16"/>
            <w:lang w:val="es-ES"/>
          </w:rPr>
          <w:t xml:space="preserve">, M.; </w:t>
        </w:r>
        <w:proofErr w:type="spellStart"/>
        <w:r w:rsidR="00572854">
          <w:rPr>
            <w:rFonts w:ascii="Verdana" w:eastAsia="Verdana" w:hAnsi="Verdana" w:cs="Verdana"/>
            <w:b/>
            <w:bCs/>
            <w:color w:val="4F81BD" w:themeColor="accent1"/>
            <w:sz w:val="16"/>
            <w:szCs w:val="16"/>
            <w:lang w:val="es-ES"/>
          </w:rPr>
          <w:t>Zeka</w:t>
        </w:r>
        <w:proofErr w:type="spellEnd"/>
        <w:r w:rsidR="00572854">
          <w:rPr>
            <w:rFonts w:ascii="Verdana" w:eastAsia="Verdana" w:hAnsi="Verdana" w:cs="Verdana"/>
            <w:b/>
            <w:bCs/>
            <w:color w:val="4F81BD" w:themeColor="accent1"/>
            <w:sz w:val="16"/>
            <w:szCs w:val="16"/>
            <w:lang w:val="es-ES"/>
          </w:rPr>
          <w:t xml:space="preserve">, H.; </w:t>
        </w:r>
        <w:proofErr w:type="spellStart"/>
        <w:r w:rsidR="00572854">
          <w:rPr>
            <w:rFonts w:ascii="Verdana" w:eastAsia="Verdana" w:hAnsi="Verdana" w:cs="Verdana"/>
            <w:b/>
            <w:bCs/>
            <w:color w:val="4F81BD" w:themeColor="accent1"/>
            <w:sz w:val="16"/>
            <w:szCs w:val="16"/>
            <w:lang w:val="es-ES"/>
          </w:rPr>
          <w:t>Bejenaru</w:t>
        </w:r>
        <w:proofErr w:type="spellEnd"/>
        <w:r w:rsidR="00572854">
          <w:rPr>
            <w:rFonts w:ascii="Verdana" w:eastAsia="Verdana" w:hAnsi="Verdana" w:cs="Verdana"/>
            <w:b/>
            <w:bCs/>
            <w:color w:val="4F81BD" w:themeColor="accent1"/>
            <w:sz w:val="16"/>
            <w:szCs w:val="16"/>
            <w:lang w:val="es-ES"/>
          </w:rPr>
          <w:t>, S.</w:t>
        </w:r>
        <w:r w:rsidR="009F2248" w:rsidRPr="00263C71">
          <w:rPr>
            <w:rFonts w:ascii="Verdana" w:eastAsia="Verdana" w:hAnsi="Verdana" w:cs="Verdana"/>
            <w:b/>
            <w:bCs/>
            <w:color w:val="4F81BD" w:themeColor="accent1"/>
            <w:sz w:val="16"/>
            <w:szCs w:val="16"/>
            <w:lang w:val="es-ES"/>
          </w:rPr>
          <w:t xml:space="preserve"> (202</w:t>
        </w:r>
        <w:r w:rsidR="009F2248">
          <w:rPr>
            <w:rFonts w:ascii="Verdana" w:eastAsia="Verdana" w:hAnsi="Verdana" w:cs="Verdana"/>
            <w:b/>
            <w:bCs/>
            <w:color w:val="4F81BD" w:themeColor="accent1"/>
            <w:sz w:val="16"/>
            <w:szCs w:val="16"/>
            <w:lang w:val="es-ES"/>
          </w:rPr>
          <w:t>4</w:t>
        </w:r>
        <w:r w:rsidR="009F2248" w:rsidRPr="00263C71">
          <w:rPr>
            <w:rFonts w:ascii="Verdana" w:eastAsia="Verdana" w:hAnsi="Verdana" w:cs="Verdana"/>
            <w:b/>
            <w:bCs/>
            <w:color w:val="4F81BD" w:themeColor="accent1"/>
            <w:sz w:val="16"/>
            <w:szCs w:val="16"/>
            <w:lang w:val="es-ES"/>
          </w:rPr>
          <w:t xml:space="preserve">). </w:t>
        </w:r>
        <w:r w:rsidR="00E71066" w:rsidRPr="00E71066">
          <w:rPr>
            <w:rFonts w:ascii="Verdana" w:eastAsia="Verdana" w:hAnsi="Verdana" w:cs="Verdana"/>
            <w:b/>
            <w:bCs/>
            <w:color w:val="4F81BD" w:themeColor="accent1"/>
            <w:sz w:val="16"/>
            <w:szCs w:val="16"/>
          </w:rPr>
          <w:t>Promoting Civic Engagement, Inclusiveness and Quality Education through Central and Southeastern European Network for Service-Learning</w:t>
        </w:r>
        <w:r w:rsidR="009F2248" w:rsidRPr="00263C71">
          <w:rPr>
            <w:rFonts w:ascii="Verdana" w:eastAsia="Verdana" w:hAnsi="Verdana" w:cs="Verdana"/>
            <w:b/>
            <w:bCs/>
            <w:color w:val="4F81BD" w:themeColor="accent1"/>
            <w:sz w:val="16"/>
            <w:szCs w:val="16"/>
            <w:lang w:val="es-ES"/>
          </w:rPr>
          <w:t xml:space="preserve">. </w:t>
        </w:r>
        <w:r w:rsidR="009F2248" w:rsidRPr="00263C71">
          <w:rPr>
            <w:rFonts w:ascii="Verdana" w:eastAsia="Verdana" w:hAnsi="Verdana" w:cs="Verdana"/>
            <w:b/>
            <w:bCs/>
            <w:i/>
            <w:iCs/>
            <w:color w:val="4F81BD" w:themeColor="accent1"/>
            <w:sz w:val="16"/>
            <w:szCs w:val="16"/>
            <w:lang w:val="es-ES"/>
          </w:rPr>
          <w:t>RIDAS, Revista Iberoamericana de Aprendizaje-Servicio</w:t>
        </w:r>
        <w:r w:rsidR="009F2248" w:rsidRPr="00263C71">
          <w:rPr>
            <w:rFonts w:ascii="Verdana" w:eastAsia="Verdana" w:hAnsi="Verdana" w:cs="Verdana"/>
            <w:b/>
            <w:bCs/>
            <w:color w:val="4F81BD" w:themeColor="accent1"/>
            <w:sz w:val="16"/>
            <w:szCs w:val="16"/>
            <w:lang w:val="es-ES"/>
          </w:rPr>
          <w:t xml:space="preserve">, </w:t>
        </w:r>
        <w:r w:rsidR="009F2248" w:rsidRPr="00E47DF3">
          <w:rPr>
            <w:rFonts w:ascii="Verdana" w:eastAsia="Verdana" w:hAnsi="Verdana" w:cs="Verdana"/>
            <w:b/>
            <w:bCs/>
            <w:color w:val="4F81BD" w:themeColor="accent1"/>
            <w:sz w:val="16"/>
            <w:szCs w:val="16"/>
            <w:lang w:val="es-ES"/>
          </w:rPr>
          <w:t>1</w:t>
        </w:r>
        <w:r w:rsidR="00895D1C">
          <w:rPr>
            <w:rFonts w:ascii="Verdana" w:eastAsia="Verdana" w:hAnsi="Verdana" w:cs="Verdana"/>
            <w:b/>
            <w:bCs/>
            <w:color w:val="4F81BD" w:themeColor="accent1"/>
            <w:sz w:val="16"/>
            <w:szCs w:val="16"/>
            <w:lang w:val="es-ES"/>
          </w:rPr>
          <w:t>8</w:t>
        </w:r>
        <w:r w:rsidR="009F2248" w:rsidRPr="00DE2E67">
          <w:rPr>
            <w:rFonts w:ascii="Verdana" w:eastAsia="Verdana" w:hAnsi="Verdana" w:cs="Verdana"/>
            <w:b/>
            <w:bCs/>
            <w:color w:val="4F81BD" w:themeColor="accent1"/>
            <w:sz w:val="16"/>
            <w:szCs w:val="16"/>
            <w:lang w:val="es-ES"/>
          </w:rPr>
          <w:t xml:space="preserve">, </w:t>
        </w:r>
        <w:r w:rsidR="00DE2E67" w:rsidRPr="00DE2E67">
          <w:rPr>
            <w:rFonts w:ascii="Verdana" w:eastAsia="Verdana" w:hAnsi="Verdana" w:cs="Verdana"/>
            <w:b/>
            <w:bCs/>
            <w:color w:val="4F81BD" w:themeColor="accent1"/>
            <w:sz w:val="16"/>
            <w:szCs w:val="16"/>
            <w:lang w:val="es-ES"/>
          </w:rPr>
          <w:t>60</w:t>
        </w:r>
        <w:r w:rsidR="009F2248" w:rsidRPr="00DE2E67">
          <w:rPr>
            <w:rFonts w:ascii="Verdana" w:eastAsia="Verdana" w:hAnsi="Verdana" w:cs="Verdana"/>
            <w:b/>
            <w:bCs/>
            <w:color w:val="4F81BD" w:themeColor="accent1"/>
            <w:sz w:val="16"/>
            <w:szCs w:val="16"/>
            <w:lang w:val="es-ES"/>
          </w:rPr>
          <w:t>-</w:t>
        </w:r>
        <w:r w:rsidR="00DE2E67" w:rsidRPr="00DE2E67">
          <w:rPr>
            <w:rFonts w:ascii="Verdana" w:eastAsia="Verdana" w:hAnsi="Verdana" w:cs="Verdana"/>
            <w:b/>
            <w:bCs/>
            <w:color w:val="4F81BD" w:themeColor="accent1"/>
            <w:sz w:val="16"/>
            <w:szCs w:val="16"/>
            <w:lang w:val="es-ES"/>
          </w:rPr>
          <w:t>71</w:t>
        </w:r>
        <w:r w:rsidR="009F2248" w:rsidRPr="00246DCD">
          <w:rPr>
            <w:rFonts w:ascii="Verdana" w:eastAsia="Verdana" w:hAnsi="Verdana" w:cs="Verdana"/>
            <w:b/>
            <w:bCs/>
            <w:color w:val="4F81BD" w:themeColor="accent1"/>
            <w:sz w:val="16"/>
            <w:szCs w:val="16"/>
            <w:lang w:val="es-ES"/>
          </w:rPr>
          <w:t>. DOI10.1344/RIDAS202</w:t>
        </w:r>
        <w:r w:rsidR="00E47DF3" w:rsidRPr="00246DCD">
          <w:rPr>
            <w:rFonts w:ascii="Verdana" w:eastAsia="Verdana" w:hAnsi="Verdana" w:cs="Verdana"/>
            <w:b/>
            <w:bCs/>
            <w:color w:val="4F81BD" w:themeColor="accent1"/>
            <w:sz w:val="16"/>
            <w:szCs w:val="16"/>
            <w:lang w:val="es-ES"/>
          </w:rPr>
          <w:t>4</w:t>
        </w:r>
        <w:r w:rsidR="009F2248" w:rsidRPr="00246DCD">
          <w:rPr>
            <w:rFonts w:ascii="Verdana" w:eastAsia="Verdana" w:hAnsi="Verdana" w:cs="Verdana"/>
            <w:b/>
            <w:bCs/>
            <w:color w:val="4F81BD" w:themeColor="accent1"/>
            <w:sz w:val="16"/>
            <w:szCs w:val="16"/>
            <w:lang w:val="es-ES"/>
          </w:rPr>
          <w:t>.1</w:t>
        </w:r>
        <w:r w:rsidR="00895D1C">
          <w:rPr>
            <w:rFonts w:ascii="Verdana" w:eastAsia="Verdana" w:hAnsi="Verdana" w:cs="Verdana"/>
            <w:b/>
            <w:bCs/>
            <w:color w:val="4F81BD" w:themeColor="accent1"/>
            <w:sz w:val="16"/>
            <w:szCs w:val="16"/>
            <w:lang w:val="es-ES"/>
          </w:rPr>
          <w:t>8</w:t>
        </w:r>
        <w:r w:rsidR="009F2248" w:rsidRPr="00246DCD">
          <w:rPr>
            <w:rFonts w:ascii="Verdana" w:eastAsia="Verdana" w:hAnsi="Verdana" w:cs="Verdana"/>
            <w:b/>
            <w:bCs/>
            <w:color w:val="4F81BD" w:themeColor="accent1"/>
            <w:sz w:val="16"/>
            <w:szCs w:val="16"/>
            <w:lang w:val="es-ES"/>
          </w:rPr>
          <w:t>.</w:t>
        </w:r>
        <w:r w:rsidR="00895D1C">
          <w:rPr>
            <w:rFonts w:ascii="Verdana" w:eastAsia="Verdana" w:hAnsi="Verdana" w:cs="Verdana"/>
            <w:b/>
            <w:bCs/>
            <w:color w:val="4F81BD" w:themeColor="accent1"/>
            <w:sz w:val="16"/>
            <w:szCs w:val="16"/>
            <w:lang w:val="es-ES"/>
          </w:rPr>
          <w:t>5</w:t>
        </w:r>
      </w:p>
      <w:p w14:paraId="532B9966" w14:textId="01EC8352" w:rsidR="009F2248" w:rsidRDefault="009F2248">
        <w:pPr>
          <w:pStyle w:val="Footer"/>
          <w:jc w:val="center"/>
        </w:pPr>
        <w:r w:rsidRPr="00DE2E67">
          <w:rPr>
            <w:rFonts w:ascii="Verdana" w:hAnsi="Verdana"/>
            <w:b/>
            <w:bCs/>
            <w:color w:val="4F81BD" w:themeColor="accent1"/>
            <w:sz w:val="16"/>
            <w:szCs w:val="16"/>
          </w:rPr>
          <w:fldChar w:fldCharType="begin"/>
        </w:r>
        <w:r w:rsidRPr="00DE2E67">
          <w:rPr>
            <w:rFonts w:ascii="Verdana" w:hAnsi="Verdana"/>
            <w:b/>
            <w:bCs/>
            <w:color w:val="4F81BD" w:themeColor="accent1"/>
            <w:sz w:val="16"/>
            <w:szCs w:val="16"/>
          </w:rPr>
          <w:instrText>PAGE   \* MERGEFORMAT</w:instrText>
        </w:r>
        <w:r w:rsidRPr="00DE2E67">
          <w:rPr>
            <w:rFonts w:ascii="Verdana" w:hAnsi="Verdana"/>
            <w:b/>
            <w:bCs/>
            <w:color w:val="4F81BD" w:themeColor="accent1"/>
            <w:sz w:val="16"/>
            <w:szCs w:val="16"/>
          </w:rPr>
          <w:fldChar w:fldCharType="separate"/>
        </w:r>
        <w:r w:rsidRPr="00DE2E67">
          <w:rPr>
            <w:rFonts w:ascii="Verdana" w:hAnsi="Verdana"/>
            <w:b/>
            <w:bCs/>
            <w:color w:val="4F81BD" w:themeColor="accent1"/>
            <w:sz w:val="16"/>
            <w:szCs w:val="16"/>
            <w:lang w:val="es-ES"/>
          </w:rPr>
          <w:t>2</w:t>
        </w:r>
        <w:r w:rsidRPr="00DE2E67">
          <w:rPr>
            <w:rFonts w:ascii="Verdana" w:hAnsi="Verdana"/>
            <w:b/>
            <w:bCs/>
            <w:color w:val="4F81BD" w:themeColor="accen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A90D" w14:textId="77777777" w:rsidR="0042489A" w:rsidRDefault="0042489A" w:rsidP="00476D03">
      <w:pPr>
        <w:spacing w:after="0" w:line="240" w:lineRule="auto"/>
      </w:pPr>
      <w:r>
        <w:separator/>
      </w:r>
    </w:p>
  </w:footnote>
  <w:footnote w:type="continuationSeparator" w:id="0">
    <w:p w14:paraId="527264F2" w14:textId="77777777" w:rsidR="0042489A" w:rsidRDefault="0042489A" w:rsidP="0047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4043" w14:textId="223E4D7C" w:rsidR="009F2248" w:rsidRPr="009F2248" w:rsidRDefault="009F2248" w:rsidP="009F2248">
    <w:pPr>
      <w:widowControl w:val="0"/>
      <w:rPr>
        <w:rFonts w:ascii="Verdana" w:eastAsia="Verdana" w:hAnsi="Verdana" w:cs="Verdana"/>
        <w:color w:val="000000" w:themeColor="text1"/>
        <w:lang w:val="es-ES"/>
      </w:rPr>
    </w:pPr>
    <w:r>
      <w:rPr>
        <w:noProof/>
      </w:rPr>
      <w:drawing>
        <wp:inline distT="0" distB="0" distL="0" distR="0" wp14:anchorId="76E5BBC9" wp14:editId="66620DD8">
          <wp:extent cx="1647825" cy="590550"/>
          <wp:effectExtent l="0" t="0" r="0" b="0"/>
          <wp:docPr id="1663791967" name="Imagen 16637919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590550"/>
                  </a:xfrm>
                  <a:prstGeom prst="rect">
                    <a:avLst/>
                  </a:prstGeom>
                </pic:spPr>
              </pic:pic>
            </a:graphicData>
          </a:graphic>
        </wp:inline>
      </w:drawing>
    </w:r>
    <w:r w:rsidRPr="4E497E94">
      <w:rPr>
        <w:rFonts w:ascii="Verdana" w:eastAsia="Verdana" w:hAnsi="Verdana" w:cs="Verdana"/>
        <w:color w:val="000000" w:themeColor="text1"/>
        <w:lang w:val="es-ES"/>
      </w:rPr>
      <w:t xml:space="preserve">                                                       </w:t>
    </w:r>
    <w:r>
      <w:rPr>
        <w:rFonts w:ascii="Verdana" w:eastAsia="Verdana" w:hAnsi="Verdana" w:cs="Verdana"/>
        <w:color w:val="000000" w:themeColor="text1"/>
        <w:lang w:val="es-ES"/>
      </w:rPr>
      <w:t xml:space="preserve">     </w:t>
    </w:r>
    <w:r w:rsidRPr="4E497E94">
      <w:rPr>
        <w:rFonts w:ascii="Verdana" w:eastAsia="Verdana" w:hAnsi="Verdana" w:cs="Verdana"/>
        <w:color w:val="000000" w:themeColor="text1"/>
        <w:lang w:val="es-ES"/>
      </w:rPr>
      <w:t xml:space="preserve">      </w:t>
    </w:r>
    <w:r w:rsidRPr="00E47DF3">
      <w:rPr>
        <w:rFonts w:ascii="Verdana" w:eastAsia="Verdana" w:hAnsi="Verdana" w:cs="Verdana"/>
        <w:color w:val="000000" w:themeColor="text1"/>
        <w:sz w:val="16"/>
        <w:szCs w:val="16"/>
        <w:lang w:val="es-ES"/>
      </w:rPr>
      <w:t>ISSN 2339-9341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22ADD"/>
    <w:multiLevelType w:val="hybridMultilevel"/>
    <w:tmpl w:val="40D6C6EA"/>
    <w:lvl w:ilvl="0" w:tplc="B3EABB6E">
      <w:start w:val="1"/>
      <w:numFmt w:val="bullet"/>
      <w:lvlText w:val=""/>
      <w:lvlJc w:val="left"/>
      <w:pPr>
        <w:ind w:left="720" w:hanging="360"/>
      </w:pPr>
      <w:rPr>
        <w:rFonts w:ascii="Symbol" w:hAnsi="Symbol" w:hint="default"/>
      </w:rPr>
    </w:lvl>
    <w:lvl w:ilvl="1" w:tplc="02C49738">
      <w:start w:val="1"/>
      <w:numFmt w:val="bullet"/>
      <w:lvlText w:val="o"/>
      <w:lvlJc w:val="left"/>
      <w:pPr>
        <w:ind w:left="1440" w:hanging="360"/>
      </w:pPr>
      <w:rPr>
        <w:rFonts w:ascii="Courier New" w:hAnsi="Courier New" w:hint="default"/>
      </w:rPr>
    </w:lvl>
    <w:lvl w:ilvl="2" w:tplc="D152B0B6">
      <w:start w:val="1"/>
      <w:numFmt w:val="bullet"/>
      <w:lvlText w:val=""/>
      <w:lvlJc w:val="left"/>
      <w:pPr>
        <w:ind w:left="2160" w:hanging="360"/>
      </w:pPr>
      <w:rPr>
        <w:rFonts w:ascii="Wingdings" w:hAnsi="Wingdings" w:hint="default"/>
      </w:rPr>
    </w:lvl>
    <w:lvl w:ilvl="3" w:tplc="ECDE8B66">
      <w:start w:val="1"/>
      <w:numFmt w:val="bullet"/>
      <w:lvlText w:val=""/>
      <w:lvlJc w:val="left"/>
      <w:pPr>
        <w:ind w:left="2880" w:hanging="360"/>
      </w:pPr>
      <w:rPr>
        <w:rFonts w:ascii="Symbol" w:hAnsi="Symbol" w:hint="default"/>
      </w:rPr>
    </w:lvl>
    <w:lvl w:ilvl="4" w:tplc="53FA226C">
      <w:start w:val="1"/>
      <w:numFmt w:val="bullet"/>
      <w:lvlText w:val="o"/>
      <w:lvlJc w:val="left"/>
      <w:pPr>
        <w:ind w:left="3600" w:hanging="360"/>
      </w:pPr>
      <w:rPr>
        <w:rFonts w:ascii="Courier New" w:hAnsi="Courier New" w:hint="default"/>
      </w:rPr>
    </w:lvl>
    <w:lvl w:ilvl="5" w:tplc="FBD0E33C">
      <w:start w:val="1"/>
      <w:numFmt w:val="bullet"/>
      <w:lvlText w:val=""/>
      <w:lvlJc w:val="left"/>
      <w:pPr>
        <w:ind w:left="4320" w:hanging="360"/>
      </w:pPr>
      <w:rPr>
        <w:rFonts w:ascii="Wingdings" w:hAnsi="Wingdings" w:hint="default"/>
      </w:rPr>
    </w:lvl>
    <w:lvl w:ilvl="6" w:tplc="23C6AA3A">
      <w:start w:val="1"/>
      <w:numFmt w:val="bullet"/>
      <w:lvlText w:val=""/>
      <w:lvlJc w:val="left"/>
      <w:pPr>
        <w:ind w:left="5040" w:hanging="360"/>
      </w:pPr>
      <w:rPr>
        <w:rFonts w:ascii="Symbol" w:hAnsi="Symbol" w:hint="default"/>
      </w:rPr>
    </w:lvl>
    <w:lvl w:ilvl="7" w:tplc="FF9A7384">
      <w:start w:val="1"/>
      <w:numFmt w:val="bullet"/>
      <w:lvlText w:val="o"/>
      <w:lvlJc w:val="left"/>
      <w:pPr>
        <w:ind w:left="5760" w:hanging="360"/>
      </w:pPr>
      <w:rPr>
        <w:rFonts w:ascii="Courier New" w:hAnsi="Courier New" w:hint="default"/>
      </w:rPr>
    </w:lvl>
    <w:lvl w:ilvl="8" w:tplc="ED742DBE">
      <w:start w:val="1"/>
      <w:numFmt w:val="bullet"/>
      <w:lvlText w:val=""/>
      <w:lvlJc w:val="left"/>
      <w:pPr>
        <w:ind w:left="6480" w:hanging="360"/>
      </w:pPr>
      <w:rPr>
        <w:rFonts w:ascii="Wingdings" w:hAnsi="Wingdings" w:hint="default"/>
      </w:rPr>
    </w:lvl>
  </w:abstractNum>
  <w:abstractNum w:abstractNumId="1" w15:restartNumberingAfterBreak="0">
    <w:nsid w:val="49AA386C"/>
    <w:multiLevelType w:val="hybridMultilevel"/>
    <w:tmpl w:val="A7306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FE39BC"/>
    <w:multiLevelType w:val="hybridMultilevel"/>
    <w:tmpl w:val="3FC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33483">
    <w:abstractNumId w:val="0"/>
  </w:num>
  <w:num w:numId="2" w16cid:durableId="2027171377">
    <w:abstractNumId w:val="2"/>
  </w:num>
  <w:num w:numId="3" w16cid:durableId="39604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47"/>
    <w:rsid w:val="00000CF6"/>
    <w:rsid w:val="000135CA"/>
    <w:rsid w:val="000313A6"/>
    <w:rsid w:val="000732D2"/>
    <w:rsid w:val="00074350"/>
    <w:rsid w:val="0009556E"/>
    <w:rsid w:val="000E1321"/>
    <w:rsid w:val="000E67D8"/>
    <w:rsid w:val="00103F4A"/>
    <w:rsid w:val="00104B69"/>
    <w:rsid w:val="0012619D"/>
    <w:rsid w:val="0015271D"/>
    <w:rsid w:val="00174D08"/>
    <w:rsid w:val="00176DB2"/>
    <w:rsid w:val="001929A9"/>
    <w:rsid w:val="001B7967"/>
    <w:rsid w:val="001D598D"/>
    <w:rsid w:val="00226E5B"/>
    <w:rsid w:val="00246DCD"/>
    <w:rsid w:val="00270FC1"/>
    <w:rsid w:val="00282FAD"/>
    <w:rsid w:val="002C664E"/>
    <w:rsid w:val="003222A7"/>
    <w:rsid w:val="00374D65"/>
    <w:rsid w:val="003937F6"/>
    <w:rsid w:val="003A55E6"/>
    <w:rsid w:val="0042489A"/>
    <w:rsid w:val="00476D03"/>
    <w:rsid w:val="004902A4"/>
    <w:rsid w:val="004938C3"/>
    <w:rsid w:val="0050465E"/>
    <w:rsid w:val="00572854"/>
    <w:rsid w:val="005E0596"/>
    <w:rsid w:val="005E4452"/>
    <w:rsid w:val="006076EF"/>
    <w:rsid w:val="00611EAC"/>
    <w:rsid w:val="006159B8"/>
    <w:rsid w:val="00620F19"/>
    <w:rsid w:val="006243A0"/>
    <w:rsid w:val="00655003"/>
    <w:rsid w:val="00667F78"/>
    <w:rsid w:val="006E3D0D"/>
    <w:rsid w:val="007224E9"/>
    <w:rsid w:val="007554E7"/>
    <w:rsid w:val="007E1926"/>
    <w:rsid w:val="007E3646"/>
    <w:rsid w:val="00836547"/>
    <w:rsid w:val="0087156B"/>
    <w:rsid w:val="00895D1C"/>
    <w:rsid w:val="00950132"/>
    <w:rsid w:val="0095761B"/>
    <w:rsid w:val="009A2140"/>
    <w:rsid w:val="009F2248"/>
    <w:rsid w:val="00A1089B"/>
    <w:rsid w:val="00B1208D"/>
    <w:rsid w:val="00BA4014"/>
    <w:rsid w:val="00C03084"/>
    <w:rsid w:val="00C42612"/>
    <w:rsid w:val="00C43CFD"/>
    <w:rsid w:val="00C53B1E"/>
    <w:rsid w:val="00C56BF2"/>
    <w:rsid w:val="00C824C6"/>
    <w:rsid w:val="00D93F39"/>
    <w:rsid w:val="00DC5B14"/>
    <w:rsid w:val="00DE1FD3"/>
    <w:rsid w:val="00DE2E67"/>
    <w:rsid w:val="00E16F7E"/>
    <w:rsid w:val="00E17D00"/>
    <w:rsid w:val="00E47DF3"/>
    <w:rsid w:val="00E71066"/>
    <w:rsid w:val="00E9422D"/>
    <w:rsid w:val="00F17132"/>
    <w:rsid w:val="00F66B43"/>
    <w:rsid w:val="024CC283"/>
    <w:rsid w:val="030E4A87"/>
    <w:rsid w:val="08966754"/>
    <w:rsid w:val="089E8778"/>
    <w:rsid w:val="0A8A1DB4"/>
    <w:rsid w:val="0F4E1732"/>
    <w:rsid w:val="0FC6D2D6"/>
    <w:rsid w:val="11A1CF34"/>
    <w:rsid w:val="152BE7C2"/>
    <w:rsid w:val="191CB492"/>
    <w:rsid w:val="193C3F52"/>
    <w:rsid w:val="1B4FB17E"/>
    <w:rsid w:val="1D0D662A"/>
    <w:rsid w:val="24D398E7"/>
    <w:rsid w:val="24FAE380"/>
    <w:rsid w:val="2B720FAC"/>
    <w:rsid w:val="2EDB9FA1"/>
    <w:rsid w:val="3422EA9D"/>
    <w:rsid w:val="36FB22D9"/>
    <w:rsid w:val="3D65331B"/>
    <w:rsid w:val="3D996F13"/>
    <w:rsid w:val="4B0FF0D5"/>
    <w:rsid w:val="4BD35C1B"/>
    <w:rsid w:val="577D3CE0"/>
    <w:rsid w:val="5B260459"/>
    <w:rsid w:val="5B348892"/>
    <w:rsid w:val="5C93CF8C"/>
    <w:rsid w:val="60BDEC52"/>
    <w:rsid w:val="6135C1A2"/>
    <w:rsid w:val="66AAFDC7"/>
    <w:rsid w:val="6B13C73E"/>
    <w:rsid w:val="6B808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156C"/>
  <w15:docId w15:val="{09A27753-D09D-4782-A102-4765BCA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7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1B"/>
    <w:rPr>
      <w:rFonts w:ascii="Segoe UI" w:hAnsi="Segoe UI" w:cs="Segoe UI"/>
      <w:sz w:val="18"/>
      <w:szCs w:val="18"/>
    </w:rPr>
  </w:style>
  <w:style w:type="character" w:styleId="Hyperlink">
    <w:name w:val="Hyperlink"/>
    <w:basedOn w:val="DefaultParagraphFont"/>
    <w:uiPriority w:val="99"/>
    <w:unhideWhenUsed/>
    <w:rsid w:val="005E0596"/>
    <w:rPr>
      <w:color w:val="0000FF"/>
      <w:u w:val="single"/>
    </w:rPr>
  </w:style>
  <w:style w:type="paragraph" w:customStyle="1" w:styleId="KPHLiteratur">
    <w:name w:val="KPH Literatur"/>
    <w:basedOn w:val="Normal"/>
    <w:link w:val="KPHLiteraturZchn"/>
    <w:qFormat/>
    <w:rsid w:val="005E0596"/>
    <w:pPr>
      <w:suppressAutoHyphens/>
      <w:spacing w:before="120" w:after="120" w:line="240" w:lineRule="auto"/>
      <w:ind w:left="709" w:hanging="709"/>
    </w:pPr>
    <w:rPr>
      <w:rFonts w:ascii="Times New Roman" w:eastAsiaTheme="minorHAnsi" w:hAnsi="Times New Roman" w:cstheme="minorBidi"/>
      <w:sz w:val="24"/>
      <w:lang w:val="it-IT" w:eastAsia="en-US"/>
    </w:rPr>
  </w:style>
  <w:style w:type="character" w:customStyle="1" w:styleId="KPHLiteraturZchn">
    <w:name w:val="KPH Literatur Zchn"/>
    <w:basedOn w:val="DefaultParagraphFont"/>
    <w:link w:val="KPHLiteratur"/>
    <w:rsid w:val="005E0596"/>
    <w:rPr>
      <w:rFonts w:ascii="Times New Roman" w:eastAsiaTheme="minorHAnsi" w:hAnsi="Times New Roman" w:cstheme="minorBidi"/>
      <w:sz w:val="24"/>
      <w:lang w:val="it-IT" w:eastAsia="en-US"/>
    </w:rPr>
  </w:style>
  <w:style w:type="paragraph" w:styleId="FootnoteText">
    <w:name w:val="footnote text"/>
    <w:basedOn w:val="Normal"/>
    <w:link w:val="FootnoteTextChar"/>
    <w:uiPriority w:val="99"/>
    <w:semiHidden/>
    <w:unhideWhenUsed/>
    <w:rsid w:val="00476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D03"/>
    <w:rPr>
      <w:sz w:val="20"/>
      <w:szCs w:val="20"/>
    </w:rPr>
  </w:style>
  <w:style w:type="character" w:styleId="FootnoteReference">
    <w:name w:val="footnote reference"/>
    <w:basedOn w:val="DefaultParagraphFont"/>
    <w:uiPriority w:val="99"/>
    <w:semiHidden/>
    <w:unhideWhenUsed/>
    <w:rsid w:val="00476D03"/>
    <w:rPr>
      <w:vertAlign w:val="superscript"/>
    </w:rPr>
  </w:style>
  <w:style w:type="paragraph" w:styleId="NormalWeb">
    <w:name w:val="Normal (Web)"/>
    <w:basedOn w:val="Normal"/>
    <w:uiPriority w:val="99"/>
    <w:unhideWhenUsed/>
    <w:rsid w:val="007224E9"/>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Header">
    <w:name w:val="header"/>
    <w:basedOn w:val="Normal"/>
    <w:link w:val="HeaderChar"/>
    <w:uiPriority w:val="99"/>
    <w:unhideWhenUsed/>
    <w:rsid w:val="009F2248"/>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2248"/>
  </w:style>
  <w:style w:type="paragraph" w:styleId="Footer">
    <w:name w:val="footer"/>
    <w:basedOn w:val="Normal"/>
    <w:link w:val="FooterChar"/>
    <w:uiPriority w:val="99"/>
    <w:unhideWhenUsed/>
    <w:rsid w:val="009F2248"/>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2248"/>
  </w:style>
  <w:style w:type="paragraph" w:styleId="ListParagraph">
    <w:name w:val="List Paragraph"/>
    <w:basedOn w:val="Normal"/>
    <w:uiPriority w:val="34"/>
    <w:qFormat/>
    <w:rsid w:val="00176DB2"/>
    <w:pPr>
      <w:ind w:left="720"/>
      <w:contextualSpacing/>
    </w:pPr>
  </w:style>
  <w:style w:type="character" w:styleId="UnresolvedMention">
    <w:name w:val="Unresolved Mention"/>
    <w:basedOn w:val="DefaultParagraphFont"/>
    <w:uiPriority w:val="99"/>
    <w:semiHidden/>
    <w:unhideWhenUsed/>
    <w:rsid w:val="006159B8"/>
    <w:rPr>
      <w:color w:val="605E5C"/>
      <w:shd w:val="clear" w:color="auto" w:fill="E1DFDD"/>
    </w:rPr>
  </w:style>
  <w:style w:type="character" w:styleId="FollowedHyperlink">
    <w:name w:val="FollowedHyperlink"/>
    <w:basedOn w:val="DefaultParagraphFont"/>
    <w:uiPriority w:val="99"/>
    <w:semiHidden/>
    <w:unhideWhenUsed/>
    <w:rsid w:val="00DE2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3120">
      <w:bodyDiv w:val="1"/>
      <w:marLeft w:val="0"/>
      <w:marRight w:val="0"/>
      <w:marTop w:val="0"/>
      <w:marBottom w:val="0"/>
      <w:divBdr>
        <w:top w:val="none" w:sz="0" w:space="0" w:color="auto"/>
        <w:left w:val="none" w:sz="0" w:space="0" w:color="auto"/>
        <w:bottom w:val="none" w:sz="0" w:space="0" w:color="auto"/>
        <w:right w:val="none" w:sz="0" w:space="0" w:color="auto"/>
      </w:divBdr>
    </w:div>
    <w:div w:id="367267580">
      <w:bodyDiv w:val="1"/>
      <w:marLeft w:val="0"/>
      <w:marRight w:val="0"/>
      <w:marTop w:val="0"/>
      <w:marBottom w:val="0"/>
      <w:divBdr>
        <w:top w:val="none" w:sz="0" w:space="0" w:color="auto"/>
        <w:left w:val="none" w:sz="0" w:space="0" w:color="auto"/>
        <w:bottom w:val="none" w:sz="0" w:space="0" w:color="auto"/>
        <w:right w:val="none" w:sz="0" w:space="0" w:color="auto"/>
      </w:divBdr>
    </w:div>
    <w:div w:id="545140398">
      <w:bodyDiv w:val="1"/>
      <w:marLeft w:val="0"/>
      <w:marRight w:val="0"/>
      <w:marTop w:val="0"/>
      <w:marBottom w:val="0"/>
      <w:divBdr>
        <w:top w:val="none" w:sz="0" w:space="0" w:color="auto"/>
        <w:left w:val="none" w:sz="0" w:space="0" w:color="auto"/>
        <w:bottom w:val="none" w:sz="0" w:space="0" w:color="auto"/>
        <w:right w:val="none" w:sz="0" w:space="0" w:color="auto"/>
      </w:divBdr>
    </w:div>
    <w:div w:id="558127582">
      <w:bodyDiv w:val="1"/>
      <w:marLeft w:val="0"/>
      <w:marRight w:val="0"/>
      <w:marTop w:val="0"/>
      <w:marBottom w:val="0"/>
      <w:divBdr>
        <w:top w:val="none" w:sz="0" w:space="0" w:color="auto"/>
        <w:left w:val="none" w:sz="0" w:space="0" w:color="auto"/>
        <w:bottom w:val="none" w:sz="0" w:space="0" w:color="auto"/>
        <w:right w:val="none" w:sz="0" w:space="0" w:color="auto"/>
      </w:divBdr>
    </w:div>
    <w:div w:id="577788910">
      <w:bodyDiv w:val="1"/>
      <w:marLeft w:val="0"/>
      <w:marRight w:val="0"/>
      <w:marTop w:val="0"/>
      <w:marBottom w:val="0"/>
      <w:divBdr>
        <w:top w:val="none" w:sz="0" w:space="0" w:color="auto"/>
        <w:left w:val="none" w:sz="0" w:space="0" w:color="auto"/>
        <w:bottom w:val="none" w:sz="0" w:space="0" w:color="auto"/>
        <w:right w:val="none" w:sz="0" w:space="0" w:color="auto"/>
      </w:divBdr>
    </w:div>
    <w:div w:id="877547004">
      <w:bodyDiv w:val="1"/>
      <w:marLeft w:val="0"/>
      <w:marRight w:val="0"/>
      <w:marTop w:val="0"/>
      <w:marBottom w:val="0"/>
      <w:divBdr>
        <w:top w:val="none" w:sz="0" w:space="0" w:color="auto"/>
        <w:left w:val="none" w:sz="0" w:space="0" w:color="auto"/>
        <w:bottom w:val="none" w:sz="0" w:space="0" w:color="auto"/>
        <w:right w:val="none" w:sz="0" w:space="0" w:color="auto"/>
      </w:divBdr>
    </w:div>
    <w:div w:id="878056836">
      <w:bodyDiv w:val="1"/>
      <w:marLeft w:val="0"/>
      <w:marRight w:val="0"/>
      <w:marTop w:val="0"/>
      <w:marBottom w:val="0"/>
      <w:divBdr>
        <w:top w:val="none" w:sz="0" w:space="0" w:color="auto"/>
        <w:left w:val="none" w:sz="0" w:space="0" w:color="auto"/>
        <w:bottom w:val="none" w:sz="0" w:space="0" w:color="auto"/>
        <w:right w:val="none" w:sz="0" w:space="0" w:color="auto"/>
      </w:divBdr>
    </w:div>
    <w:div w:id="878511765">
      <w:bodyDiv w:val="1"/>
      <w:marLeft w:val="0"/>
      <w:marRight w:val="0"/>
      <w:marTop w:val="0"/>
      <w:marBottom w:val="0"/>
      <w:divBdr>
        <w:top w:val="none" w:sz="0" w:space="0" w:color="auto"/>
        <w:left w:val="none" w:sz="0" w:space="0" w:color="auto"/>
        <w:bottom w:val="none" w:sz="0" w:space="0" w:color="auto"/>
        <w:right w:val="none" w:sz="0" w:space="0" w:color="auto"/>
      </w:divBdr>
      <w:divsChild>
        <w:div w:id="733969895">
          <w:marLeft w:val="0"/>
          <w:marRight w:val="0"/>
          <w:marTop w:val="0"/>
          <w:marBottom w:val="0"/>
          <w:divBdr>
            <w:top w:val="none" w:sz="0" w:space="0" w:color="auto"/>
            <w:left w:val="none" w:sz="0" w:space="0" w:color="auto"/>
            <w:bottom w:val="none" w:sz="0" w:space="0" w:color="auto"/>
            <w:right w:val="none" w:sz="0" w:space="0" w:color="auto"/>
          </w:divBdr>
          <w:divsChild>
            <w:div w:id="1009677331">
              <w:marLeft w:val="0"/>
              <w:marRight w:val="0"/>
              <w:marTop w:val="0"/>
              <w:marBottom w:val="0"/>
              <w:divBdr>
                <w:top w:val="none" w:sz="0" w:space="0" w:color="auto"/>
                <w:left w:val="none" w:sz="0" w:space="0" w:color="auto"/>
                <w:bottom w:val="none" w:sz="0" w:space="0" w:color="auto"/>
                <w:right w:val="none" w:sz="0" w:space="0" w:color="auto"/>
              </w:divBdr>
              <w:divsChild>
                <w:div w:id="1647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0774">
      <w:bodyDiv w:val="1"/>
      <w:marLeft w:val="0"/>
      <w:marRight w:val="0"/>
      <w:marTop w:val="0"/>
      <w:marBottom w:val="0"/>
      <w:divBdr>
        <w:top w:val="none" w:sz="0" w:space="0" w:color="auto"/>
        <w:left w:val="none" w:sz="0" w:space="0" w:color="auto"/>
        <w:bottom w:val="none" w:sz="0" w:space="0" w:color="auto"/>
        <w:right w:val="none" w:sz="0" w:space="0" w:color="auto"/>
      </w:divBdr>
    </w:div>
    <w:div w:id="1048921367">
      <w:bodyDiv w:val="1"/>
      <w:marLeft w:val="0"/>
      <w:marRight w:val="0"/>
      <w:marTop w:val="0"/>
      <w:marBottom w:val="0"/>
      <w:divBdr>
        <w:top w:val="none" w:sz="0" w:space="0" w:color="auto"/>
        <w:left w:val="none" w:sz="0" w:space="0" w:color="auto"/>
        <w:bottom w:val="none" w:sz="0" w:space="0" w:color="auto"/>
        <w:right w:val="none" w:sz="0" w:space="0" w:color="auto"/>
      </w:divBdr>
    </w:div>
    <w:div w:id="1231892036">
      <w:bodyDiv w:val="1"/>
      <w:marLeft w:val="0"/>
      <w:marRight w:val="0"/>
      <w:marTop w:val="0"/>
      <w:marBottom w:val="0"/>
      <w:divBdr>
        <w:top w:val="none" w:sz="0" w:space="0" w:color="auto"/>
        <w:left w:val="none" w:sz="0" w:space="0" w:color="auto"/>
        <w:bottom w:val="none" w:sz="0" w:space="0" w:color="auto"/>
        <w:right w:val="none" w:sz="0" w:space="0" w:color="auto"/>
      </w:divBdr>
    </w:div>
    <w:div w:id="1461998573">
      <w:bodyDiv w:val="1"/>
      <w:marLeft w:val="0"/>
      <w:marRight w:val="0"/>
      <w:marTop w:val="0"/>
      <w:marBottom w:val="0"/>
      <w:divBdr>
        <w:top w:val="none" w:sz="0" w:space="0" w:color="auto"/>
        <w:left w:val="none" w:sz="0" w:space="0" w:color="auto"/>
        <w:bottom w:val="none" w:sz="0" w:space="0" w:color="auto"/>
        <w:right w:val="none" w:sz="0" w:space="0" w:color="auto"/>
      </w:divBdr>
    </w:div>
    <w:div w:id="1589079056">
      <w:bodyDiv w:val="1"/>
      <w:marLeft w:val="0"/>
      <w:marRight w:val="0"/>
      <w:marTop w:val="0"/>
      <w:marBottom w:val="0"/>
      <w:divBdr>
        <w:top w:val="none" w:sz="0" w:space="0" w:color="auto"/>
        <w:left w:val="none" w:sz="0" w:space="0" w:color="auto"/>
        <w:bottom w:val="none" w:sz="0" w:space="0" w:color="auto"/>
        <w:right w:val="none" w:sz="0" w:space="0" w:color="auto"/>
      </w:divBdr>
      <w:divsChild>
        <w:div w:id="551885448">
          <w:marLeft w:val="0"/>
          <w:marRight w:val="0"/>
          <w:marTop w:val="0"/>
          <w:marBottom w:val="0"/>
          <w:divBdr>
            <w:top w:val="none" w:sz="0" w:space="0" w:color="auto"/>
            <w:left w:val="none" w:sz="0" w:space="0" w:color="auto"/>
            <w:bottom w:val="none" w:sz="0" w:space="0" w:color="auto"/>
            <w:right w:val="none" w:sz="0" w:space="0" w:color="auto"/>
          </w:divBdr>
          <w:divsChild>
            <w:div w:id="1582519293">
              <w:marLeft w:val="0"/>
              <w:marRight w:val="0"/>
              <w:marTop w:val="0"/>
              <w:marBottom w:val="0"/>
              <w:divBdr>
                <w:top w:val="none" w:sz="0" w:space="0" w:color="auto"/>
                <w:left w:val="none" w:sz="0" w:space="0" w:color="auto"/>
                <w:bottom w:val="none" w:sz="0" w:space="0" w:color="auto"/>
                <w:right w:val="none" w:sz="0" w:space="0" w:color="auto"/>
              </w:divBdr>
              <w:divsChild>
                <w:div w:id="1712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07644">
      <w:bodyDiv w:val="1"/>
      <w:marLeft w:val="0"/>
      <w:marRight w:val="0"/>
      <w:marTop w:val="0"/>
      <w:marBottom w:val="0"/>
      <w:divBdr>
        <w:top w:val="none" w:sz="0" w:space="0" w:color="auto"/>
        <w:left w:val="none" w:sz="0" w:space="0" w:color="auto"/>
        <w:bottom w:val="none" w:sz="0" w:space="0" w:color="auto"/>
        <w:right w:val="none" w:sz="0" w:space="0" w:color="auto"/>
      </w:divBdr>
    </w:div>
    <w:div w:id="2053846593">
      <w:bodyDiv w:val="1"/>
      <w:marLeft w:val="0"/>
      <w:marRight w:val="0"/>
      <w:marTop w:val="0"/>
      <w:marBottom w:val="0"/>
      <w:divBdr>
        <w:top w:val="none" w:sz="0" w:space="0" w:color="auto"/>
        <w:left w:val="none" w:sz="0" w:space="0" w:color="auto"/>
        <w:bottom w:val="none" w:sz="0" w:space="0" w:color="auto"/>
        <w:right w:val="none" w:sz="0" w:space="0" w:color="auto"/>
      </w:divBdr>
    </w:div>
    <w:div w:id="214738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zbeta.gregorova@umb.sk" TargetMode="External"/><Relationship Id="rId13" Type="http://schemas.openxmlformats.org/officeDocument/2006/relationships/hyperlink" Target="mailto:simina@selegro.ro" TargetMode="External"/><Relationship Id="rId18" Type="http://schemas.openxmlformats.org/officeDocument/2006/relationships/hyperlink" Target="https://doi.org/10.1080/00405841.2015.977661" TargetMode="External"/><Relationship Id="rId3" Type="http://schemas.openxmlformats.org/officeDocument/2006/relationships/styles" Target="styles.xml"/><Relationship Id="rId21" Type="http://schemas.openxmlformats.org/officeDocument/2006/relationships/hyperlink" Target="https://files.eric.ed.gov/fulltext/EJ988320.pdf" TargetMode="External"/><Relationship Id="rId7" Type="http://schemas.openxmlformats.org/officeDocument/2006/relationships/endnotes" Target="endnotes.xml"/><Relationship Id="rId12" Type="http://schemas.openxmlformats.org/officeDocument/2006/relationships/hyperlink" Target="mailto:hatixhe@toka-ks.org" TargetMode="External"/><Relationship Id="rId17" Type="http://schemas.openxmlformats.org/officeDocument/2006/relationships/hyperlink" Target="https://doi.org/10.3389/feduc.2021.60635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89/feduc.2021.606356" TargetMode="External"/><Relationship Id="rId20" Type="http://schemas.openxmlformats.org/officeDocument/2006/relationships/hyperlink" Target="https://files.eric.ed.gov/fulltext/EJ9883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_neagu@noi-orizonturi.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05382591103400205" TargetMode="External"/><Relationship Id="rId23" Type="http://schemas.openxmlformats.org/officeDocument/2006/relationships/footer" Target="footer1.xml"/><Relationship Id="rId10" Type="http://schemas.openxmlformats.org/officeDocument/2006/relationships/hyperlink" Target="mailto:muios@ioskole.net" TargetMode="External"/><Relationship Id="rId19" Type="http://schemas.openxmlformats.org/officeDocument/2006/relationships/hyperlink" Target="https://doi.org/10.1080/00405841.2015.977661" TargetMode="External"/><Relationship Id="rId4" Type="http://schemas.openxmlformats.org/officeDocument/2006/relationships/settings" Target="settings.xml"/><Relationship Id="rId9" Type="http://schemas.openxmlformats.org/officeDocument/2006/relationships/hyperlink" Target="https://orcid.org/0000-0001-8559-8512" TargetMode="External"/><Relationship Id="rId14" Type="http://schemas.openxmlformats.org/officeDocument/2006/relationships/hyperlink" Target="https://doi.org/10.1177/10538259110340020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3A05-A0F7-4250-91D1-C736180A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4696</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Hoth de Olano, Christiane</dc:creator>
  <cp:lastModifiedBy>Anna Maria Escofet Roig</cp:lastModifiedBy>
  <cp:revision>13</cp:revision>
  <dcterms:created xsi:type="dcterms:W3CDTF">2024-04-25T20:46:00Z</dcterms:created>
  <dcterms:modified xsi:type="dcterms:W3CDTF">2025-01-08T15:07:00Z</dcterms:modified>
</cp:coreProperties>
</file>